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</w:pPr>
      <w:bookmarkStart w:id="0" w:name="_top"/>
      <w:bookmarkEnd w:id="0"/>
      <w:bookmarkStart w:id="15" w:name="_GoBack"/>
      <w:bookmarkEnd w:id="15"/>
    </w:p>
    <w:tbl>
      <w:tblPr>
        <w:tblStyle w:val="9"/>
        <w:tblpPr w:leftFromText="187" w:rightFromText="187" w:horzAnchor="margin" w:tblpXSpec="right" w:tblpYSpec="top"/>
        <w:tblW w:w="2196" w:type="pct"/>
        <w:tblInd w:w="0" w:type="dxa"/>
        <w:tblBorders>
          <w:top w:val="single" w:color="9BBB59" w:sz="36" w:space="0"/>
          <w:left w:val="none" w:color="auto" w:sz="0" w:space="0"/>
          <w:bottom w:val="single" w:color="9BBB59" w:sz="36" w:space="0"/>
          <w:right w:val="none" w:color="auto" w:sz="0" w:space="0"/>
          <w:insideH w:val="single" w:color="9BBB59" w:sz="36" w:space="0"/>
          <w:insideV w:val="none" w:color="auto" w:sz="0" w:space="0"/>
        </w:tblBorders>
        <w:tblLayout w:type="autofit"/>
        <w:tblCellMar>
          <w:top w:w="360" w:type="dxa"/>
          <w:left w:w="115" w:type="dxa"/>
          <w:bottom w:w="360" w:type="dxa"/>
          <w:right w:w="115" w:type="dxa"/>
        </w:tblCellMar>
      </w:tblPr>
      <w:tblGrid>
        <w:gridCol w:w="3749"/>
      </w:tblGrid>
      <w:tr>
        <w:tblPrEx>
          <w:tblBorders>
            <w:top w:val="single" w:color="9BBB59" w:sz="36" w:space="0"/>
            <w:left w:val="none" w:color="auto" w:sz="0" w:space="0"/>
            <w:bottom w:val="single" w:color="9BBB59" w:sz="36" w:space="0"/>
            <w:right w:val="none" w:color="auto" w:sz="0" w:space="0"/>
            <w:insideH w:val="single" w:color="9BBB59" w:sz="36" w:space="0"/>
            <w:insideV w:val="none" w:color="auto" w:sz="0" w:space="0"/>
          </w:tblBorders>
          <w:tblCellMar>
            <w:top w:w="360" w:type="dxa"/>
            <w:left w:w="115" w:type="dxa"/>
            <w:bottom w:w="360" w:type="dxa"/>
            <w:right w:w="115" w:type="dxa"/>
          </w:tblCellMar>
        </w:tblPrEx>
        <w:trPr>
          <w:wBefore w:w="0" w:type="dxa"/>
        </w:trPr>
        <w:tc>
          <w:tcPr>
            <w:tcW w:w="5000" w:type="pct"/>
            <w:noWrap w:val="0"/>
            <w:vAlign w:val="top"/>
          </w:tcPr>
          <w:p>
            <w:pPr>
              <w:pStyle w:val="22"/>
              <w:spacing w:line="360" w:lineRule="auto"/>
              <w:jc w:val="center"/>
              <w:rPr>
                <w:rFonts w:ascii="Cambria" w:hAnsi="Cambria"/>
                <w:sz w:val="72"/>
                <w:szCs w:val="72"/>
              </w:rPr>
            </w:pPr>
            <w:r>
              <w:rPr>
                <w:rFonts w:hint="eastAsia" w:ascii="Cambria" w:hAnsi="Cambria"/>
                <w:sz w:val="72"/>
                <w:szCs w:val="72"/>
              </w:rPr>
              <w:t>加油站散装汽柴油销售实时信息系统</w:t>
            </w:r>
          </w:p>
        </w:tc>
      </w:tr>
      <w:tr>
        <w:tblPrEx>
          <w:tblBorders>
            <w:top w:val="single" w:color="9BBB59" w:sz="36" w:space="0"/>
            <w:left w:val="none" w:color="auto" w:sz="0" w:space="0"/>
            <w:bottom w:val="single" w:color="9BBB59" w:sz="36" w:space="0"/>
            <w:right w:val="none" w:color="auto" w:sz="0" w:space="0"/>
            <w:insideH w:val="single" w:color="9BBB59" w:sz="36" w:space="0"/>
            <w:insideV w:val="none" w:color="auto" w:sz="0" w:space="0"/>
          </w:tblBorders>
          <w:tblCellMar>
            <w:top w:w="360" w:type="dxa"/>
            <w:left w:w="115" w:type="dxa"/>
            <w:bottom w:w="360" w:type="dxa"/>
            <w:right w:w="115" w:type="dxa"/>
          </w:tblCellMar>
        </w:tblPrEx>
        <w:trPr>
          <w:wBefore w:w="0" w:type="dxa"/>
        </w:trPr>
        <w:tc>
          <w:tcPr>
            <w:tcW w:w="5000" w:type="pct"/>
            <w:noWrap w:val="0"/>
            <w:vAlign w:val="top"/>
          </w:tcPr>
          <w:p>
            <w:pPr>
              <w:pStyle w:val="22"/>
              <w:spacing w:line="360" w:lineRule="auto"/>
              <w:jc w:val="center"/>
              <w:rPr>
                <w:sz w:val="52"/>
                <w:szCs w:val="52"/>
              </w:rPr>
            </w:pPr>
            <w:r>
              <w:rPr>
                <w:rFonts w:hint="eastAsia"/>
                <w:sz w:val="52"/>
                <w:szCs w:val="52"/>
              </w:rPr>
              <w:t>单位应用平台</w:t>
            </w:r>
          </w:p>
        </w:tc>
      </w:tr>
      <w:tr>
        <w:tblPrEx>
          <w:tblBorders>
            <w:top w:val="single" w:color="9BBB59" w:sz="36" w:space="0"/>
            <w:left w:val="none" w:color="auto" w:sz="0" w:space="0"/>
            <w:bottom w:val="single" w:color="9BBB59" w:sz="36" w:space="0"/>
            <w:right w:val="none" w:color="auto" w:sz="0" w:space="0"/>
            <w:insideH w:val="single" w:color="9BBB59" w:sz="36" w:space="0"/>
            <w:insideV w:val="none" w:color="auto" w:sz="0" w:space="0"/>
          </w:tblBorders>
          <w:tblCellMar>
            <w:top w:w="360" w:type="dxa"/>
            <w:left w:w="115" w:type="dxa"/>
            <w:bottom w:w="360" w:type="dxa"/>
            <w:right w:w="115" w:type="dxa"/>
          </w:tblCellMar>
        </w:tblPrEx>
        <w:trPr>
          <w:wBefore w:w="0" w:type="dxa"/>
        </w:trPr>
        <w:tc>
          <w:tcPr>
            <w:tcW w:w="5000" w:type="pct"/>
            <w:noWrap w:val="0"/>
            <w:vAlign w:val="top"/>
          </w:tcPr>
          <w:p>
            <w:pPr>
              <w:pStyle w:val="22"/>
              <w:spacing w:line="360" w:lineRule="auto"/>
              <w:jc w:val="center"/>
              <w:rPr>
                <w:sz w:val="52"/>
                <w:szCs w:val="52"/>
              </w:rPr>
            </w:pPr>
            <w:r>
              <w:rPr>
                <w:rFonts w:hint="eastAsia"/>
                <w:sz w:val="52"/>
                <w:szCs w:val="52"/>
              </w:rPr>
              <w:t>操作说明</w:t>
            </w:r>
          </w:p>
        </w:tc>
      </w:tr>
      <w:tr>
        <w:tblPrEx>
          <w:tblBorders>
            <w:top w:val="single" w:color="9BBB59" w:sz="36" w:space="0"/>
            <w:left w:val="none" w:color="auto" w:sz="0" w:space="0"/>
            <w:bottom w:val="single" w:color="9BBB59" w:sz="36" w:space="0"/>
            <w:right w:val="none" w:color="auto" w:sz="0" w:space="0"/>
            <w:insideH w:val="single" w:color="9BBB59" w:sz="36" w:space="0"/>
            <w:insideV w:val="none" w:color="auto" w:sz="0" w:space="0"/>
          </w:tblBorders>
          <w:tblCellMar>
            <w:top w:w="360" w:type="dxa"/>
            <w:left w:w="115" w:type="dxa"/>
            <w:bottom w:w="360" w:type="dxa"/>
            <w:right w:w="115" w:type="dxa"/>
          </w:tblCellMar>
        </w:tblPrEx>
        <w:trPr>
          <w:wBefore w:w="0" w:type="dxa"/>
        </w:trPr>
        <w:tc>
          <w:tcPr>
            <w:tcW w:w="5000" w:type="pct"/>
            <w:noWrap w:val="0"/>
            <w:vAlign w:val="top"/>
          </w:tcPr>
          <w:p>
            <w:pPr>
              <w:pStyle w:val="22"/>
              <w:spacing w:line="360" w:lineRule="auto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上海市公安局治安总队</w:t>
            </w:r>
          </w:p>
        </w:tc>
      </w:tr>
    </w:tbl>
    <w:p>
      <w:pPr>
        <w:spacing w:line="360" w:lineRule="auto"/>
        <w:jc w:val="center"/>
        <w:rPr>
          <w:b/>
          <w:sz w:val="72"/>
          <w:szCs w:val="72"/>
        </w:rPr>
      </w:pPr>
    </w:p>
    <w:p>
      <w:pPr>
        <w:widowControl/>
        <w:jc w:val="center"/>
        <w:rPr>
          <w:rFonts w:hint="eastAsia"/>
          <w:b/>
          <w:sz w:val="32"/>
          <w:szCs w:val="32"/>
        </w:rPr>
      </w:pPr>
      <w:r>
        <w:rPr>
          <w:b/>
          <w:sz w:val="72"/>
          <w:szCs w:val="72"/>
        </w:rPr>
        <w:br w:type="page"/>
      </w:r>
      <w:r>
        <w:rPr>
          <w:b/>
          <w:sz w:val="32"/>
          <w:szCs w:val="32"/>
          <w:lang w:val="zh-CN"/>
        </w:rPr>
        <w:t>目  录</w:t>
      </w:r>
    </w:p>
    <w:p>
      <w:pPr>
        <w:pStyle w:val="6"/>
        <w:tabs>
          <w:tab w:val="left" w:pos="630"/>
          <w:tab w:val="right" w:leader="dot" w:pos="8296"/>
        </w:tabs>
        <w:rPr>
          <w:rFonts w:ascii="等线" w:hAnsi="等线" w:eastAsia="等线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"_Toc80271664" </w:instrText>
      </w:r>
      <w:r>
        <w:fldChar w:fldCharType="separate"/>
      </w:r>
      <w:r>
        <w:rPr>
          <w:rStyle w:val="11"/>
          <w:rFonts w:ascii="宋体" w:hAnsi="宋体"/>
        </w:rPr>
        <w:t>1.</w:t>
      </w:r>
      <w:r>
        <w:rPr>
          <w:rFonts w:ascii="等线" w:hAnsi="等线" w:eastAsia="等线"/>
          <w:szCs w:val="22"/>
        </w:rPr>
        <w:tab/>
      </w:r>
      <w:r>
        <w:rPr>
          <w:rStyle w:val="11"/>
          <w:rFonts w:ascii="宋体" w:hAnsi="宋体"/>
        </w:rPr>
        <w:t>使用环境</w:t>
      </w:r>
      <w:r>
        <w:tab/>
      </w:r>
      <w:r>
        <w:fldChar w:fldCharType="begin"/>
      </w:r>
      <w:r>
        <w:instrText xml:space="preserve"> PAGEREF _Toc80271664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6"/>
        <w:tabs>
          <w:tab w:val="left" w:pos="630"/>
          <w:tab w:val="right" w:leader="dot" w:pos="8296"/>
        </w:tabs>
        <w:rPr>
          <w:rFonts w:ascii="等线" w:hAnsi="等线" w:eastAsia="等线"/>
          <w:szCs w:val="22"/>
        </w:rPr>
      </w:pPr>
      <w:r>
        <w:fldChar w:fldCharType="begin"/>
      </w:r>
      <w:r>
        <w:instrText xml:space="preserve"> HYPERLINK \l "_Toc80271665" </w:instrText>
      </w:r>
      <w:r>
        <w:fldChar w:fldCharType="separate"/>
      </w:r>
      <w:r>
        <w:rPr>
          <w:rStyle w:val="11"/>
          <w:rFonts w:ascii="宋体" w:hAnsi="宋体"/>
        </w:rPr>
        <w:t>2.</w:t>
      </w:r>
      <w:r>
        <w:rPr>
          <w:rFonts w:ascii="等线" w:hAnsi="等线" w:eastAsia="等线"/>
          <w:szCs w:val="22"/>
        </w:rPr>
        <w:tab/>
      </w:r>
      <w:r>
        <w:rPr>
          <w:rStyle w:val="11"/>
          <w:rFonts w:ascii="宋体" w:hAnsi="宋体"/>
        </w:rPr>
        <w:t>单位注册</w:t>
      </w:r>
      <w:r>
        <w:tab/>
      </w:r>
      <w:r>
        <w:fldChar w:fldCharType="begin"/>
      </w:r>
      <w:r>
        <w:instrText xml:space="preserve"> PAGEREF _Toc80271665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6"/>
        <w:tabs>
          <w:tab w:val="left" w:pos="630"/>
          <w:tab w:val="right" w:leader="dot" w:pos="8296"/>
        </w:tabs>
        <w:rPr>
          <w:rFonts w:ascii="等线" w:hAnsi="等线" w:eastAsia="等线"/>
          <w:szCs w:val="22"/>
        </w:rPr>
      </w:pPr>
      <w:r>
        <w:fldChar w:fldCharType="begin"/>
      </w:r>
      <w:r>
        <w:instrText xml:space="preserve"> HYPERLINK \l "_Toc80271666" </w:instrText>
      </w:r>
      <w:r>
        <w:fldChar w:fldCharType="separate"/>
      </w:r>
      <w:r>
        <w:rPr>
          <w:rStyle w:val="11"/>
          <w:rFonts w:ascii="宋体" w:hAnsi="宋体"/>
        </w:rPr>
        <w:t>3.</w:t>
      </w:r>
      <w:r>
        <w:rPr>
          <w:rFonts w:ascii="等线" w:hAnsi="等线" w:eastAsia="等线"/>
          <w:szCs w:val="22"/>
        </w:rPr>
        <w:tab/>
      </w:r>
      <w:r>
        <w:rPr>
          <w:rStyle w:val="11"/>
          <w:rFonts w:ascii="宋体" w:hAnsi="宋体"/>
        </w:rPr>
        <w:t>登陆系统</w:t>
      </w:r>
      <w:r>
        <w:tab/>
      </w:r>
      <w:r>
        <w:fldChar w:fldCharType="begin"/>
      </w:r>
      <w:r>
        <w:instrText xml:space="preserve"> PAGEREF _Toc80271666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6"/>
        <w:tabs>
          <w:tab w:val="left" w:pos="630"/>
          <w:tab w:val="right" w:leader="dot" w:pos="8296"/>
        </w:tabs>
        <w:rPr>
          <w:rFonts w:ascii="等线" w:hAnsi="等线" w:eastAsia="等线"/>
          <w:szCs w:val="22"/>
        </w:rPr>
      </w:pPr>
      <w:r>
        <w:fldChar w:fldCharType="begin"/>
      </w:r>
      <w:r>
        <w:instrText xml:space="preserve"> HYPERLINK \l "_Toc80271667" </w:instrText>
      </w:r>
      <w:r>
        <w:fldChar w:fldCharType="separate"/>
      </w:r>
      <w:r>
        <w:rPr>
          <w:rStyle w:val="11"/>
          <w:rFonts w:ascii="宋体" w:hAnsi="宋体"/>
        </w:rPr>
        <w:t>4.</w:t>
      </w:r>
      <w:r>
        <w:rPr>
          <w:rFonts w:ascii="等线" w:hAnsi="等线" w:eastAsia="等线"/>
          <w:szCs w:val="22"/>
        </w:rPr>
        <w:tab/>
      </w:r>
      <w:r>
        <w:rPr>
          <w:rStyle w:val="11"/>
          <w:rFonts w:ascii="宋体" w:hAnsi="宋体"/>
        </w:rPr>
        <w:t>密码找回</w:t>
      </w:r>
      <w:r>
        <w:tab/>
      </w:r>
      <w:r>
        <w:fldChar w:fldCharType="begin"/>
      </w:r>
      <w:r>
        <w:instrText xml:space="preserve"> PAGEREF _Toc80271667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6"/>
        <w:tabs>
          <w:tab w:val="left" w:pos="630"/>
          <w:tab w:val="right" w:leader="dot" w:pos="8296"/>
        </w:tabs>
        <w:rPr>
          <w:rFonts w:ascii="等线" w:hAnsi="等线" w:eastAsia="等线"/>
          <w:szCs w:val="22"/>
        </w:rPr>
      </w:pPr>
      <w:r>
        <w:fldChar w:fldCharType="begin"/>
      </w:r>
      <w:r>
        <w:instrText xml:space="preserve"> HYPERLINK \l "_Toc80271668" </w:instrText>
      </w:r>
      <w:r>
        <w:fldChar w:fldCharType="separate"/>
      </w:r>
      <w:r>
        <w:rPr>
          <w:rStyle w:val="11"/>
          <w:rFonts w:ascii="宋体" w:hAnsi="宋体"/>
        </w:rPr>
        <w:t>5.</w:t>
      </w:r>
      <w:r>
        <w:rPr>
          <w:rFonts w:ascii="等线" w:hAnsi="等线" w:eastAsia="等线"/>
          <w:szCs w:val="22"/>
        </w:rPr>
        <w:tab/>
      </w:r>
      <w:r>
        <w:rPr>
          <w:rStyle w:val="11"/>
          <w:rFonts w:ascii="宋体" w:hAnsi="宋体"/>
        </w:rPr>
        <w:t>基本信息</w:t>
      </w:r>
      <w:r>
        <w:tab/>
      </w:r>
      <w:r>
        <w:fldChar w:fldCharType="begin"/>
      </w:r>
      <w:r>
        <w:instrText xml:space="preserve"> PAGEREF _Toc80271668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8"/>
        <w:tabs>
          <w:tab w:val="left" w:pos="1260"/>
          <w:tab w:val="right" w:leader="dot" w:pos="8296"/>
        </w:tabs>
        <w:rPr>
          <w:rFonts w:ascii="等线" w:hAnsi="等线" w:eastAsia="等线"/>
          <w:szCs w:val="22"/>
        </w:rPr>
      </w:pPr>
      <w:r>
        <w:fldChar w:fldCharType="begin"/>
      </w:r>
      <w:r>
        <w:instrText xml:space="preserve"> HYPERLINK \l "_Toc80271669" </w:instrText>
      </w:r>
      <w:r>
        <w:fldChar w:fldCharType="separate"/>
      </w:r>
      <w:r>
        <w:rPr>
          <w:rStyle w:val="11"/>
          <w:rFonts w:ascii="宋体" w:hAnsi="宋体"/>
        </w:rPr>
        <w:t>5.1.</w:t>
      </w:r>
      <w:r>
        <w:rPr>
          <w:rFonts w:ascii="等线" w:hAnsi="等线" w:eastAsia="等线"/>
          <w:szCs w:val="22"/>
        </w:rPr>
        <w:tab/>
      </w:r>
      <w:r>
        <w:rPr>
          <w:rStyle w:val="11"/>
          <w:rFonts w:ascii="宋体" w:hAnsi="宋体"/>
        </w:rPr>
        <w:t>基本信息</w:t>
      </w:r>
      <w:r>
        <w:tab/>
      </w:r>
      <w:r>
        <w:fldChar w:fldCharType="begin"/>
      </w:r>
      <w:r>
        <w:instrText xml:space="preserve"> PAGEREF _Toc80271669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6"/>
        <w:tabs>
          <w:tab w:val="left" w:pos="630"/>
          <w:tab w:val="right" w:leader="dot" w:pos="8296"/>
        </w:tabs>
        <w:rPr>
          <w:rFonts w:ascii="等线" w:hAnsi="等线" w:eastAsia="等线"/>
          <w:szCs w:val="22"/>
        </w:rPr>
      </w:pPr>
      <w:r>
        <w:fldChar w:fldCharType="begin"/>
      </w:r>
      <w:r>
        <w:instrText xml:space="preserve"> HYPERLINK \l "_Toc80271670" </w:instrText>
      </w:r>
      <w:r>
        <w:fldChar w:fldCharType="separate"/>
      </w:r>
      <w:r>
        <w:rPr>
          <w:rStyle w:val="11"/>
          <w:rFonts w:ascii="宋体" w:hAnsi="宋体"/>
        </w:rPr>
        <w:t>6.</w:t>
      </w:r>
      <w:r>
        <w:rPr>
          <w:rFonts w:ascii="等线" w:hAnsi="等线" w:eastAsia="等线"/>
          <w:szCs w:val="22"/>
        </w:rPr>
        <w:tab/>
      </w:r>
      <w:r>
        <w:rPr>
          <w:rStyle w:val="11"/>
          <w:rFonts w:ascii="宋体" w:hAnsi="宋体"/>
        </w:rPr>
        <w:t>人员管理</w:t>
      </w:r>
      <w:r>
        <w:tab/>
      </w:r>
      <w:r>
        <w:fldChar w:fldCharType="begin"/>
      </w:r>
      <w:r>
        <w:instrText xml:space="preserve"> PAGEREF _Toc80271670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8"/>
        <w:tabs>
          <w:tab w:val="left" w:pos="1260"/>
          <w:tab w:val="right" w:leader="dot" w:pos="8296"/>
        </w:tabs>
        <w:rPr>
          <w:rFonts w:ascii="等线" w:hAnsi="等线" w:eastAsia="等线"/>
          <w:szCs w:val="22"/>
        </w:rPr>
      </w:pPr>
      <w:r>
        <w:fldChar w:fldCharType="begin"/>
      </w:r>
      <w:r>
        <w:instrText xml:space="preserve"> HYPERLINK \l "_Toc80271671" </w:instrText>
      </w:r>
      <w:r>
        <w:fldChar w:fldCharType="separate"/>
      </w:r>
      <w:r>
        <w:rPr>
          <w:rStyle w:val="11"/>
          <w:rFonts w:ascii="宋体" w:hAnsi="宋体"/>
        </w:rPr>
        <w:t>6.1.</w:t>
      </w:r>
      <w:r>
        <w:rPr>
          <w:rFonts w:ascii="等线" w:hAnsi="等线" w:eastAsia="等线"/>
          <w:szCs w:val="22"/>
        </w:rPr>
        <w:tab/>
      </w:r>
      <w:r>
        <w:rPr>
          <w:rStyle w:val="11"/>
          <w:rFonts w:ascii="宋体" w:hAnsi="宋体"/>
        </w:rPr>
        <w:t>人员添加</w:t>
      </w:r>
      <w:r>
        <w:tab/>
      </w:r>
      <w:r>
        <w:fldChar w:fldCharType="begin"/>
      </w:r>
      <w:r>
        <w:instrText xml:space="preserve"> PAGEREF _Toc80271671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8"/>
        <w:tabs>
          <w:tab w:val="left" w:pos="1260"/>
          <w:tab w:val="right" w:leader="dot" w:pos="8296"/>
        </w:tabs>
        <w:rPr>
          <w:rFonts w:ascii="等线" w:hAnsi="等线" w:eastAsia="等线"/>
          <w:szCs w:val="22"/>
        </w:rPr>
      </w:pPr>
      <w:r>
        <w:fldChar w:fldCharType="begin"/>
      </w:r>
      <w:r>
        <w:instrText xml:space="preserve"> HYPERLINK \l "_Toc80271672" </w:instrText>
      </w:r>
      <w:r>
        <w:fldChar w:fldCharType="separate"/>
      </w:r>
      <w:r>
        <w:rPr>
          <w:rStyle w:val="11"/>
          <w:rFonts w:ascii="宋体" w:hAnsi="宋体"/>
        </w:rPr>
        <w:t>6.2.</w:t>
      </w:r>
      <w:r>
        <w:rPr>
          <w:rFonts w:ascii="等线" w:hAnsi="等线" w:eastAsia="等线"/>
          <w:szCs w:val="22"/>
        </w:rPr>
        <w:tab/>
      </w:r>
      <w:r>
        <w:rPr>
          <w:rStyle w:val="11"/>
          <w:rFonts w:ascii="宋体" w:hAnsi="宋体"/>
        </w:rPr>
        <w:t>人员绑定</w:t>
      </w:r>
      <w:r>
        <w:tab/>
      </w:r>
      <w:r>
        <w:fldChar w:fldCharType="begin"/>
      </w:r>
      <w:r>
        <w:instrText xml:space="preserve"> PAGEREF _Toc80271672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6"/>
        <w:tabs>
          <w:tab w:val="left" w:pos="630"/>
          <w:tab w:val="right" w:leader="dot" w:pos="8296"/>
        </w:tabs>
        <w:rPr>
          <w:rFonts w:ascii="等线" w:hAnsi="等线" w:eastAsia="等线"/>
          <w:szCs w:val="22"/>
        </w:rPr>
      </w:pPr>
      <w:r>
        <w:fldChar w:fldCharType="begin"/>
      </w:r>
      <w:r>
        <w:instrText xml:space="preserve"> HYPERLINK \l "_Toc80271673" </w:instrText>
      </w:r>
      <w:r>
        <w:fldChar w:fldCharType="separate"/>
      </w:r>
      <w:r>
        <w:rPr>
          <w:rStyle w:val="11"/>
          <w:rFonts w:ascii="宋体" w:hAnsi="宋体"/>
        </w:rPr>
        <w:t>7.</w:t>
      </w:r>
      <w:r>
        <w:rPr>
          <w:rFonts w:ascii="等线" w:hAnsi="等线" w:eastAsia="等线"/>
          <w:szCs w:val="22"/>
        </w:rPr>
        <w:tab/>
      </w:r>
      <w:r>
        <w:rPr>
          <w:rStyle w:val="11"/>
          <w:rFonts w:ascii="宋体" w:hAnsi="宋体"/>
        </w:rPr>
        <w:t>用油管理</w:t>
      </w:r>
      <w:r>
        <w:tab/>
      </w:r>
      <w:r>
        <w:fldChar w:fldCharType="begin"/>
      </w:r>
      <w:r>
        <w:instrText xml:space="preserve"> PAGEREF _Toc80271673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8"/>
        <w:tabs>
          <w:tab w:val="left" w:pos="1260"/>
          <w:tab w:val="right" w:leader="dot" w:pos="8296"/>
        </w:tabs>
        <w:rPr>
          <w:rFonts w:ascii="等线" w:hAnsi="等线" w:eastAsia="等线"/>
          <w:szCs w:val="22"/>
        </w:rPr>
      </w:pPr>
      <w:r>
        <w:fldChar w:fldCharType="begin"/>
      </w:r>
      <w:r>
        <w:instrText xml:space="preserve"> HYPERLINK \l "_Toc80271674" </w:instrText>
      </w:r>
      <w:r>
        <w:fldChar w:fldCharType="separate"/>
      </w:r>
      <w:r>
        <w:rPr>
          <w:rStyle w:val="11"/>
          <w:rFonts w:ascii="宋体" w:hAnsi="宋体"/>
        </w:rPr>
        <w:t>7.1.</w:t>
      </w:r>
      <w:r>
        <w:rPr>
          <w:rFonts w:ascii="等线" w:hAnsi="等线" w:eastAsia="等线"/>
          <w:szCs w:val="22"/>
        </w:rPr>
        <w:tab/>
      </w:r>
      <w:r>
        <w:rPr>
          <w:rStyle w:val="11"/>
          <w:rFonts w:ascii="宋体" w:hAnsi="宋体"/>
        </w:rPr>
        <w:t>用油添加</w:t>
      </w:r>
      <w:r>
        <w:tab/>
      </w:r>
      <w:r>
        <w:fldChar w:fldCharType="begin"/>
      </w:r>
      <w:r>
        <w:instrText xml:space="preserve"> PAGEREF _Toc80271674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8"/>
        <w:tabs>
          <w:tab w:val="left" w:pos="1260"/>
          <w:tab w:val="right" w:leader="dot" w:pos="8296"/>
        </w:tabs>
      </w:pPr>
      <w:r>
        <w:fldChar w:fldCharType="begin"/>
      </w:r>
      <w:r>
        <w:instrText xml:space="preserve"> HYPERLINK \l "_Toc80271675" </w:instrText>
      </w:r>
      <w:r>
        <w:fldChar w:fldCharType="separate"/>
      </w:r>
      <w:r>
        <w:rPr>
          <w:rStyle w:val="11"/>
          <w:rFonts w:ascii="宋体" w:hAnsi="宋体"/>
        </w:rPr>
        <w:t>7.2.</w:t>
      </w:r>
      <w:r>
        <w:rPr>
          <w:rFonts w:ascii="等线" w:hAnsi="等线" w:eastAsia="等线"/>
          <w:szCs w:val="22"/>
        </w:rPr>
        <w:tab/>
      </w:r>
      <w:r>
        <w:rPr>
          <w:rStyle w:val="11"/>
          <w:rFonts w:ascii="宋体" w:hAnsi="宋体"/>
        </w:rPr>
        <w:t>用油查询</w:t>
      </w:r>
      <w:r>
        <w:tab/>
      </w:r>
      <w:r>
        <w:fldChar w:fldCharType="begin"/>
      </w:r>
      <w:r>
        <w:instrText xml:space="preserve"> PAGEREF _Toc80271675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  <w:r>
        <w:fldChar w:fldCharType="end"/>
      </w: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hint="eastAsia" w:ascii="宋体" w:hAnsi="宋体"/>
          <w:sz w:val="32"/>
          <w:szCs w:val="32"/>
        </w:rPr>
      </w:pPr>
    </w:p>
    <w:p>
      <w:pPr>
        <w:pStyle w:val="2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1" w:name="_Toc80271664"/>
      <w:r>
        <w:rPr>
          <w:rFonts w:ascii="宋体" w:hAnsi="宋体"/>
          <w:sz w:val="32"/>
          <w:szCs w:val="32"/>
        </w:rPr>
        <w:t>使用环境</w:t>
      </w:r>
      <w:bookmarkEnd w:id="1"/>
    </w:p>
    <w:p>
      <w:pPr>
        <w:numPr>
          <w:ilvl w:val="0"/>
          <w:numId w:val="2"/>
        </w:numPr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系统在互联网上运行，可使用台式机、笔记本</w:t>
      </w:r>
    </w:p>
    <w:p>
      <w:pPr>
        <w:numPr>
          <w:ilvl w:val="0"/>
          <w:numId w:val="2"/>
        </w:numPr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推荐使用Google Chrome浏览器（显示器分辨率至少1280*1024或以上），兼容3</w:t>
      </w:r>
      <w:r>
        <w:rPr>
          <w:rFonts w:ascii="宋体" w:hAnsi="宋体" w:eastAsia="宋体"/>
          <w:sz w:val="28"/>
          <w:szCs w:val="28"/>
        </w:rPr>
        <w:t>60</w:t>
      </w:r>
      <w:r>
        <w:rPr>
          <w:rFonts w:hint="eastAsia" w:ascii="宋体" w:hAnsi="宋体" w:eastAsia="宋体"/>
          <w:sz w:val="28"/>
          <w:szCs w:val="28"/>
        </w:rPr>
        <w:t>浏览器。</w:t>
      </w: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hint="eastAsia" w:ascii="宋体" w:hAnsi="宋体"/>
          <w:sz w:val="32"/>
          <w:szCs w:val="32"/>
        </w:rPr>
      </w:pPr>
    </w:p>
    <w:p>
      <w:pPr>
        <w:pStyle w:val="2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2" w:name="_Toc80271665"/>
      <w:r>
        <w:rPr>
          <w:rFonts w:hint="eastAsia" w:ascii="宋体" w:hAnsi="宋体"/>
          <w:sz w:val="32"/>
          <w:szCs w:val="32"/>
        </w:rPr>
        <w:t>单位注册</w:t>
      </w:r>
      <w:bookmarkEnd w:id="2"/>
    </w:p>
    <w:p>
      <w:pPr>
        <w:spacing w:line="360" w:lineRule="auto"/>
      </w:pPr>
      <w:r>
        <w:rPr>
          <w:rFonts w:hint="eastAsia"/>
        </w:rPr>
        <w:t>单位注册页面</w:t>
      </w:r>
    </w:p>
    <w:p>
      <w:pPr>
        <w:spacing w:line="360" w:lineRule="auto"/>
      </w:pPr>
      <w:r>
        <w:rPr>
          <w:rFonts w:hint="eastAsia"/>
        </w:rPr>
        <w:t>点击【新用户注册】按钮 进入单位注册页面</w:t>
      </w:r>
    </w:p>
    <w:p>
      <w:pPr>
        <w:spacing w:line="360" w:lineRule="auto"/>
      </w:pPr>
      <w:r>
        <w:rPr>
          <w:lang/>
        </w:rPr>
        <w:drawing>
          <wp:inline distT="0" distB="0" distL="114300" distR="114300">
            <wp:extent cx="5271135" cy="2757805"/>
            <wp:effectExtent l="0" t="0" r="190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t>填写需要注册的单位信息</w:t>
      </w:r>
    </w:p>
    <w:p>
      <w:pPr>
        <w:spacing w:line="360" w:lineRule="auto"/>
        <w:rPr>
          <w:b/>
          <w:bCs/>
        </w:rPr>
      </w:pPr>
      <w:r>
        <w:rPr>
          <w:lang/>
        </w:rPr>
        <w:drawing>
          <wp:inline distT="0" distB="0" distL="114300" distR="114300">
            <wp:extent cx="5264785" cy="2720975"/>
            <wp:effectExtent l="0" t="0" r="8255" b="698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填写完基本信息后</w:t>
      </w:r>
    </w:p>
    <w:p>
      <w:pPr>
        <w:spacing w:line="360" w:lineRule="auto"/>
      </w:pPr>
      <w:r>
        <w:rPr>
          <w:rFonts w:hint="eastAsia"/>
        </w:rPr>
        <w:t>点击底部【单位注册】按钮</w:t>
      </w:r>
    </w:p>
    <w:p>
      <w:pPr>
        <w:spacing w:line="360" w:lineRule="auto"/>
      </w:pPr>
      <w:r>
        <w:rPr>
          <w:rFonts w:hint="eastAsia"/>
        </w:rPr>
        <w:t>阅读并同意责任书后，点击勾选，并点击【同意】按钮，完成单位注册</w:t>
      </w:r>
    </w:p>
    <w:p>
      <w:pPr>
        <w:spacing w:line="360" w:lineRule="auto"/>
      </w:pPr>
      <w:r>
        <w:rPr>
          <w:lang/>
        </w:rPr>
        <w:drawing>
          <wp:inline distT="0" distB="0" distL="114300" distR="114300">
            <wp:extent cx="5278120" cy="2761615"/>
            <wp:effectExtent l="0" t="0" r="10160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jc w:val="left"/>
        <w:rPr>
          <w:rFonts w:ascii="宋体" w:hAnsi="宋体" w:eastAsia="宋体"/>
          <w:b/>
          <w:bCs/>
          <w:kern w:val="44"/>
          <w:sz w:val="32"/>
          <w:szCs w:val="32"/>
        </w:rPr>
      </w:pPr>
    </w:p>
    <w:p>
      <w:pPr>
        <w:pStyle w:val="2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3" w:name="_Toc80271666"/>
      <w:r>
        <w:rPr>
          <w:rFonts w:ascii="宋体" w:hAnsi="宋体"/>
          <w:sz w:val="32"/>
          <w:szCs w:val="32"/>
        </w:rPr>
        <w:t>登陆系统</w:t>
      </w:r>
      <w:bookmarkEnd w:id="3"/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单位登陆页面。</w:t>
      </w:r>
      <w:r>
        <w:rPr>
          <w:rFonts w:ascii="宋体" w:hAnsi="宋体" w:eastAsia="宋体"/>
        </w:rPr>
        <w:br w:type="textWrapping"/>
      </w:r>
      <w:r>
        <w:rPr>
          <w:rFonts w:hint="eastAsia" w:ascii="宋体" w:hAnsi="宋体" w:eastAsia="宋体"/>
        </w:rPr>
        <w:t>(网址:</w:t>
      </w:r>
      <w:r>
        <w:t xml:space="preserve"> </w:t>
      </w:r>
      <w:r>
        <w:rPr>
          <w:rFonts w:ascii="宋体" w:hAnsi="宋体" w:eastAsia="宋体"/>
        </w:rPr>
        <w:t>http://szjy.gaj.sh.gov.cn:32121/GasBusinessNewAK/)</w:t>
      </w:r>
      <w:r>
        <w:rPr>
          <w:rFonts w:ascii="宋体" w:hAnsi="宋体" w:eastAsia="宋体"/>
        </w:rPr>
        <w:br w:type="textWrapping"/>
      </w:r>
      <w:r>
        <w:rPr>
          <w:rFonts w:ascii="宋体" w:hAnsi="宋体" w:eastAsia="宋体"/>
        </w:rPr>
        <w:t>(</w:t>
      </w:r>
      <w:r>
        <w:rPr>
          <w:rFonts w:ascii="宋体" w:hAnsi="宋体" w:eastAsia="宋体"/>
          <w:color w:val="FF0000"/>
        </w:rPr>
        <w:t>网址注意区分大小写</w:t>
      </w:r>
      <w:r>
        <w:rPr>
          <w:rFonts w:ascii="宋体" w:hAnsi="宋体" w:eastAsia="宋体"/>
        </w:rPr>
        <w:t>)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输入统一社会信用代码和手机号、注册时设定的密码。</w:t>
      </w:r>
    </w:p>
    <w:p>
      <w:pPr>
        <w:spacing w:line="360" w:lineRule="auto"/>
        <w:rPr>
          <w:rFonts w:ascii="宋体" w:hAnsi="宋体" w:eastAsia="宋体"/>
        </w:rPr>
      </w:pPr>
      <w:r>
        <w:rPr>
          <w:lang/>
        </w:rPr>
        <w:drawing>
          <wp:inline distT="0" distB="0" distL="114300" distR="114300">
            <wp:extent cx="5252085" cy="2633345"/>
            <wp:effectExtent l="0" t="0" r="571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点击登录按钮，进入散装汽油-单位应用页</w:t>
      </w:r>
    </w:p>
    <w:p>
      <w:pPr>
        <w:spacing w:line="360" w:lineRule="auto"/>
        <w:rPr>
          <w:rFonts w:ascii="宋体" w:hAnsi="宋体" w:eastAsia="宋体"/>
        </w:rPr>
      </w:pPr>
      <w:r>
        <w:rPr>
          <w:lang/>
        </w:rPr>
        <w:drawing>
          <wp:inline distT="0" distB="0" distL="114300" distR="114300">
            <wp:extent cx="5264785" cy="2633345"/>
            <wp:effectExtent l="0" t="0" r="825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lang/>
        </w:rPr>
        <w:drawing>
          <wp:inline distT="0" distB="0" distL="114300" distR="114300">
            <wp:extent cx="5278120" cy="2595880"/>
            <wp:effectExtent l="0" t="0" r="10160" b="10160"/>
            <wp:docPr id="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4" w:name="_Toc80271667"/>
      <w:r>
        <w:rPr>
          <w:rFonts w:hint="eastAsia" w:ascii="宋体" w:hAnsi="宋体"/>
          <w:sz w:val="32"/>
          <w:szCs w:val="32"/>
        </w:rPr>
        <w:t>密码找回</w:t>
      </w:r>
      <w:bookmarkEnd w:id="4"/>
    </w:p>
    <w:p>
      <w:pPr>
        <w:spacing w:line="360" w:lineRule="auto"/>
      </w:pPr>
      <w:r>
        <w:rPr>
          <w:rFonts w:hint="eastAsia"/>
        </w:rPr>
        <w:t>点击底部【密码找回】按钮</w:t>
      </w:r>
    </w:p>
    <w:p>
      <w:pPr>
        <w:spacing w:line="360" w:lineRule="auto"/>
      </w:pPr>
      <w:r>
        <w:rPr>
          <w:rFonts w:hint="eastAsia"/>
        </w:rPr>
        <w:t>进入密码找回页面</w:t>
      </w:r>
    </w:p>
    <w:p>
      <w:pPr>
        <w:spacing w:line="360" w:lineRule="auto"/>
      </w:pPr>
      <w:r>
        <w:rPr>
          <w:lang/>
        </w:rPr>
        <w:drawing>
          <wp:inline distT="0" distB="0" distL="114300" distR="114300">
            <wp:extent cx="5264785" cy="2559050"/>
            <wp:effectExtent l="0" t="0" r="8255" b="12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lang/>
        </w:rPr>
        <w:drawing>
          <wp:inline distT="0" distB="0" distL="114300" distR="114300">
            <wp:extent cx="5278120" cy="2595880"/>
            <wp:effectExtent l="0" t="0" r="10160" b="10160"/>
            <wp:docPr id="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输入需要找回密码的</w:t>
      </w:r>
      <w:r>
        <w:rPr>
          <w:rFonts w:hint="eastAsia" w:ascii="宋体" w:hAnsi="宋体" w:eastAsia="宋体" w:cs="宋体"/>
          <w:szCs w:val="21"/>
          <w:shd w:val="clear" w:color="auto" w:fill="FFFFFF"/>
        </w:rPr>
        <w:t>统一社会信用代码</w:t>
      </w:r>
      <w:r>
        <w:rPr>
          <w:rFonts w:hint="eastAsia" w:ascii="宋体" w:hAnsi="宋体" w:eastAsia="宋体" w:cs="宋体"/>
        </w:rPr>
        <w:t>，点击中间的【获取验证码】按钮，会向绑定的手机发送4位数的验证码</w:t>
      </w:r>
    </w:p>
    <w:p>
      <w:pPr>
        <w:spacing w:line="360" w:lineRule="auto"/>
      </w:pPr>
      <w:r>
        <w:rPr>
          <w:lang/>
        </w:rPr>
        <w:drawing>
          <wp:inline distT="0" distB="0" distL="114300" distR="114300">
            <wp:extent cx="5278120" cy="2595880"/>
            <wp:effectExtent l="0" t="0" r="10160" b="10160"/>
            <wp:docPr id="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输入新密码和确认密码后，点击底部【确认修改】完成密码找回</w:t>
      </w:r>
    </w:p>
    <w:p>
      <w:r>
        <w:rPr>
          <w:lang/>
        </w:rPr>
        <w:drawing>
          <wp:inline distT="0" distB="0" distL="114300" distR="114300">
            <wp:extent cx="5278120" cy="2595880"/>
            <wp:effectExtent l="0" t="0" r="10160" b="10160"/>
            <wp:docPr id="1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2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5" w:name="_Toc80271668"/>
      <w:r>
        <w:rPr>
          <w:rFonts w:hint="eastAsia" w:ascii="宋体" w:hAnsi="宋体"/>
          <w:sz w:val="32"/>
          <w:szCs w:val="32"/>
        </w:rPr>
        <w:t>基本信息</w:t>
      </w:r>
      <w:bookmarkEnd w:id="5"/>
    </w:p>
    <w:p>
      <w:pPr>
        <w:pStyle w:val="7"/>
        <w:numPr>
          <w:ilvl w:val="1"/>
          <w:numId w:val="1"/>
        </w:numPr>
        <w:spacing w:line="360" w:lineRule="auto"/>
        <w:jc w:val="left"/>
        <w:rPr>
          <w:rFonts w:ascii="宋体" w:hAnsi="宋体" w:eastAsia="宋体"/>
          <w:b w:val="0"/>
          <w:bCs w:val="0"/>
          <w:sz w:val="28"/>
          <w:szCs w:val="28"/>
        </w:rPr>
      </w:pPr>
      <w:bookmarkStart w:id="6" w:name="_Toc80271669"/>
      <w:r>
        <w:rPr>
          <w:rFonts w:hint="eastAsia" w:ascii="宋体" w:hAnsi="宋体" w:eastAsia="宋体"/>
          <w:b w:val="0"/>
          <w:bCs w:val="0"/>
          <w:sz w:val="28"/>
          <w:szCs w:val="28"/>
        </w:rPr>
        <w:t>基本信息</w:t>
      </w:r>
      <w:bookmarkEnd w:id="6"/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点击左侧【基本信息】菜单。</w:t>
      </w:r>
    </w:p>
    <w:p>
      <w:pPr>
        <w:spacing w:line="360" w:lineRule="auto"/>
        <w:rPr>
          <w:rFonts w:ascii="宋体" w:hAnsi="宋体" w:eastAsia="宋体"/>
        </w:rPr>
      </w:pPr>
      <w:r>
        <w:rPr>
          <w:lang/>
        </w:rPr>
        <w:drawing>
          <wp:inline distT="0" distB="0" distL="114300" distR="114300">
            <wp:extent cx="5278120" cy="2595880"/>
            <wp:effectExtent l="0" t="0" r="10160" b="10160"/>
            <wp:docPr id="1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编辑需要修改的内容，点击底部【编辑保存】 按钮 完成单位编辑</w:t>
      </w:r>
    </w:p>
    <w:p>
      <w:pPr>
        <w:spacing w:line="360" w:lineRule="auto"/>
      </w:pPr>
      <w:r>
        <w:rPr>
          <w:lang/>
        </w:rPr>
        <w:drawing>
          <wp:inline distT="0" distB="0" distL="114300" distR="114300">
            <wp:extent cx="5278120" cy="2595880"/>
            <wp:effectExtent l="0" t="0" r="10160" b="10160"/>
            <wp:docPr id="1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</w:p>
    <w:p>
      <w:pPr>
        <w:pStyle w:val="2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7" w:name="_Toc80271670"/>
      <w:r>
        <w:rPr>
          <w:rFonts w:hint="eastAsia" w:ascii="宋体" w:hAnsi="宋体"/>
          <w:sz w:val="32"/>
          <w:szCs w:val="32"/>
        </w:rPr>
        <w:t>人员管理</w:t>
      </w:r>
      <w:bookmarkEnd w:id="7"/>
    </w:p>
    <w:p>
      <w:pPr>
        <w:pStyle w:val="7"/>
        <w:numPr>
          <w:ilvl w:val="1"/>
          <w:numId w:val="1"/>
        </w:numPr>
        <w:spacing w:line="360" w:lineRule="auto"/>
        <w:jc w:val="left"/>
        <w:rPr>
          <w:rFonts w:ascii="宋体" w:hAnsi="宋体" w:eastAsia="宋体"/>
          <w:sz w:val="28"/>
          <w:szCs w:val="28"/>
        </w:rPr>
      </w:pPr>
      <w:bookmarkStart w:id="8" w:name="_Toc80271671"/>
      <w:bookmarkStart w:id="9" w:name="_Toc77749877"/>
      <w:r>
        <w:rPr>
          <w:rFonts w:hint="eastAsia" w:ascii="宋体" w:hAnsi="宋体" w:eastAsia="宋体"/>
          <w:sz w:val="28"/>
          <w:szCs w:val="28"/>
        </w:rPr>
        <w:t>人员添加</w:t>
      </w:r>
      <w:bookmarkEnd w:id="8"/>
      <w:bookmarkEnd w:id="9"/>
    </w:p>
    <w:p>
      <w:pPr>
        <w:spacing w:line="360" w:lineRule="auto"/>
        <w:ind w:left="14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点击左侧菜单【人员添加】进入</w:t>
      </w:r>
    </w:p>
    <w:p>
      <w:pPr>
        <w:spacing w:line="360" w:lineRule="auto"/>
        <w:ind w:left="142"/>
      </w:pPr>
      <w:r>
        <w:rPr>
          <w:lang/>
        </w:rPr>
        <w:drawing>
          <wp:inline distT="0" distB="0" distL="114300" distR="114300">
            <wp:extent cx="5269865" cy="2765425"/>
            <wp:effectExtent l="0" t="0" r="3175" b="825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42"/>
      </w:pPr>
      <w:r>
        <w:rPr>
          <w:rFonts w:hint="eastAsia"/>
        </w:rPr>
        <w:t>填写人员信息</w:t>
      </w:r>
    </w:p>
    <w:p>
      <w:pPr>
        <w:spacing w:line="360" w:lineRule="auto"/>
        <w:ind w:left="14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数据无误，填写完成后，点击底部【人员保存】按钮 完成人员添加</w:t>
      </w:r>
    </w:p>
    <w:p>
      <w:pPr>
        <w:spacing w:line="360" w:lineRule="auto"/>
        <w:ind w:left="142"/>
      </w:pPr>
      <w:r>
        <w:rPr>
          <w:lang/>
        </w:rPr>
        <w:drawing>
          <wp:inline distT="0" distB="0" distL="114300" distR="114300">
            <wp:extent cx="5278120" cy="2595880"/>
            <wp:effectExtent l="0" t="0" r="10160" b="10160"/>
            <wp:docPr id="1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42"/>
        <w:rPr>
          <w:color w:val="FF0000"/>
        </w:rPr>
      </w:pPr>
      <w:r>
        <w:rPr>
          <w:rFonts w:hint="eastAsia"/>
        </w:rPr>
        <w:t>【注意：</w:t>
      </w:r>
      <w:r>
        <w:rPr>
          <w:rFonts w:hint="eastAsia"/>
          <w:color w:val="FF0000"/>
        </w:rPr>
        <w:t>未满1</w:t>
      </w:r>
      <w:r>
        <w:rPr>
          <w:color w:val="FF0000"/>
        </w:rPr>
        <w:t>8</w:t>
      </w:r>
      <w:r>
        <w:rPr>
          <w:rFonts w:hint="eastAsia"/>
          <w:color w:val="FF0000"/>
        </w:rPr>
        <w:t>周岁无法注册</w:t>
      </w:r>
      <w:r>
        <w:rPr>
          <w:rFonts w:hint="eastAsia"/>
        </w:rPr>
        <w:t>】</w:t>
      </w:r>
      <w:r>
        <w:br w:type="textWrapping"/>
      </w:r>
      <w:r>
        <w:rPr>
          <w:rFonts w:hint="eastAsia"/>
          <w:color w:val="FF0000"/>
        </w:rPr>
        <w:t>如果人员已经自行注册过或被其他单位添加过，请到人员绑定中进行操作</w:t>
      </w: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pStyle w:val="7"/>
        <w:numPr>
          <w:ilvl w:val="1"/>
          <w:numId w:val="1"/>
        </w:numPr>
        <w:spacing w:line="360" w:lineRule="auto"/>
        <w:jc w:val="left"/>
        <w:rPr>
          <w:rFonts w:ascii="宋体" w:hAnsi="宋体" w:eastAsia="宋体"/>
          <w:sz w:val="28"/>
          <w:szCs w:val="28"/>
        </w:rPr>
      </w:pPr>
      <w:bookmarkStart w:id="10" w:name="_Toc80271672"/>
      <w:r>
        <w:rPr>
          <w:rFonts w:hint="eastAsia" w:ascii="宋体" w:hAnsi="宋体" w:eastAsia="宋体"/>
          <w:sz w:val="28"/>
          <w:szCs w:val="28"/>
        </w:rPr>
        <w:t>人员绑定</w:t>
      </w:r>
      <w:bookmarkEnd w:id="10"/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点击左侧【人员绑定】 进入人员绑定页</w:t>
      </w:r>
    </w:p>
    <w:p>
      <w:r>
        <w:rPr>
          <w:lang/>
        </w:rPr>
        <w:drawing>
          <wp:inline distT="0" distB="0" distL="114300" distR="114300">
            <wp:extent cx="5278120" cy="2595880"/>
            <wp:effectExtent l="0" t="0" r="10160" b="10160"/>
            <wp:docPr id="1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点击顶部【选择人员】，进入人员绑定页面</w:t>
      </w:r>
    </w:p>
    <w:p>
      <w:r>
        <w:rPr>
          <w:lang/>
        </w:rPr>
        <w:drawing>
          <wp:inline distT="0" distB="0" distL="114300" distR="114300">
            <wp:extent cx="5278120" cy="2595880"/>
            <wp:effectExtent l="0" t="0" r="10160" b="10160"/>
            <wp:docPr id="1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r>
        <w:rPr>
          <w:rFonts w:hint="eastAsia"/>
        </w:rPr>
        <w:t>输入需要绑定的人员完整的身份证号</w:t>
      </w:r>
    </w:p>
    <w:p>
      <w:r>
        <w:rPr>
          <w:rFonts w:hint="eastAsia"/>
        </w:rPr>
        <w:t>点击选择</w:t>
      </w:r>
    </w:p>
    <w:p>
      <w:r>
        <w:rPr>
          <w:rFonts w:hint="eastAsia"/>
        </w:rPr>
        <w:t>点击底部【选择人员】按钮，完成绑定</w:t>
      </w:r>
    </w:p>
    <w:p>
      <w:r>
        <w:rPr>
          <w:lang/>
        </w:rPr>
        <w:drawing>
          <wp:inline distT="0" distB="0" distL="114300" distR="114300">
            <wp:extent cx="5278120" cy="2595880"/>
            <wp:effectExtent l="0" t="0" r="10160" b="10160"/>
            <wp:docPr id="17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页面勾选需要删除的人员</w:t>
      </w:r>
    </w:p>
    <w:p>
      <w:r>
        <w:rPr>
          <w:rFonts w:hint="eastAsia"/>
        </w:rPr>
        <w:t>点击顶部【删除人员】按钮</w:t>
      </w:r>
    </w:p>
    <w:p>
      <w:r>
        <w:rPr>
          <w:rFonts w:hint="eastAsia"/>
        </w:rPr>
        <w:t>确定，完成删除</w:t>
      </w:r>
    </w:p>
    <w:p>
      <w:r>
        <w:rPr>
          <w:lang/>
        </w:rPr>
        <w:drawing>
          <wp:inline distT="0" distB="0" distL="114300" distR="114300">
            <wp:extent cx="5278120" cy="2595880"/>
            <wp:effectExtent l="0" t="0" r="10160" b="10160"/>
            <wp:docPr id="18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pStyle w:val="2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11" w:name="_Toc80271673"/>
      <w:r>
        <w:rPr>
          <w:rFonts w:hint="eastAsia" w:ascii="宋体" w:hAnsi="宋体"/>
          <w:sz w:val="32"/>
          <w:szCs w:val="32"/>
        </w:rPr>
        <w:t>用油管理</w:t>
      </w:r>
      <w:bookmarkEnd w:id="11"/>
    </w:p>
    <w:p>
      <w:pPr>
        <w:pStyle w:val="7"/>
        <w:numPr>
          <w:ilvl w:val="1"/>
          <w:numId w:val="1"/>
        </w:numPr>
        <w:spacing w:line="360" w:lineRule="auto"/>
        <w:jc w:val="left"/>
        <w:rPr>
          <w:rFonts w:ascii="宋体" w:hAnsi="宋体" w:eastAsia="宋体"/>
          <w:sz w:val="28"/>
          <w:szCs w:val="28"/>
        </w:rPr>
      </w:pPr>
      <w:bookmarkStart w:id="12" w:name="_Toc80271674"/>
      <w:r>
        <w:rPr>
          <w:rFonts w:hint="eastAsia" w:ascii="宋体" w:hAnsi="宋体" w:eastAsia="宋体"/>
          <w:sz w:val="28"/>
          <w:szCs w:val="28"/>
        </w:rPr>
        <w:t>用油添加</w:t>
      </w:r>
      <w:bookmarkEnd w:id="12"/>
    </w:p>
    <w:p>
      <w:pPr>
        <w:spacing w:line="360" w:lineRule="auto"/>
        <w:ind w:left="14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点击左侧菜单【用油添加】进入</w:t>
      </w:r>
    </w:p>
    <w:p>
      <w:pPr>
        <w:spacing w:line="360" w:lineRule="auto"/>
        <w:ind w:left="142"/>
      </w:pPr>
      <w:r>
        <w:rPr>
          <w:lang/>
        </w:rPr>
        <w:drawing>
          <wp:inline distT="0" distB="0" distL="114300" distR="114300">
            <wp:extent cx="5260340" cy="2749550"/>
            <wp:effectExtent l="0" t="0" r="12700" b="889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42"/>
      </w:pPr>
      <w:r>
        <w:rPr>
          <w:rFonts w:hint="eastAsia"/>
        </w:rPr>
        <w:t>填写用油信息</w:t>
      </w:r>
    </w:p>
    <w:p>
      <w:pPr>
        <w:spacing w:line="360" w:lineRule="auto"/>
        <w:ind w:left="14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【注意: </w:t>
      </w:r>
      <w:r>
        <w:rPr>
          <w:rFonts w:hint="eastAsia" w:ascii="宋体" w:hAnsi="宋体" w:eastAsia="宋体" w:cs="宋体"/>
          <w:color w:val="ED7D31"/>
          <w:szCs w:val="21"/>
          <w:shd w:val="clear" w:color="auto" w:fill="FFFFFF"/>
        </w:rPr>
        <w:t>用油名称，使用开始，使用结束</w:t>
      </w:r>
      <w:r>
        <w:rPr>
          <w:rFonts w:hint="eastAsia" w:ascii="宋体" w:hAnsi="宋体" w:eastAsia="宋体" w:cs="宋体"/>
          <w:szCs w:val="21"/>
          <w:shd w:val="clear" w:color="auto" w:fill="FFFFFF"/>
        </w:rPr>
        <w:t xml:space="preserve"> 为自动填写 无需添加</w:t>
      </w:r>
      <w:r>
        <w:rPr>
          <w:rFonts w:hint="eastAsia" w:ascii="宋体" w:hAnsi="宋体" w:eastAsia="宋体" w:cs="宋体"/>
          <w:szCs w:val="21"/>
        </w:rPr>
        <w:t>】</w:t>
      </w:r>
    </w:p>
    <w:p>
      <w:pPr>
        <w:spacing w:line="360" w:lineRule="auto"/>
        <w:ind w:left="14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数据无误，填写完成后，点击底部【保存/修改】按钮 完成用油添加</w:t>
      </w:r>
    </w:p>
    <w:p>
      <w:pPr>
        <w:spacing w:line="360" w:lineRule="auto"/>
        <w:ind w:left="142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  <w:lang/>
        </w:rPr>
        <w:drawing>
          <wp:inline distT="0" distB="0" distL="114300" distR="114300">
            <wp:extent cx="5269865" cy="2762885"/>
            <wp:effectExtent l="0" t="0" r="3175" b="1079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42"/>
        <w:rPr>
          <w:rFonts w:ascii="宋体" w:hAnsi="宋体" w:eastAsia="宋体" w:cs="宋体"/>
          <w:szCs w:val="21"/>
        </w:rPr>
      </w:pPr>
    </w:p>
    <w:p>
      <w:pPr>
        <w:spacing w:line="360" w:lineRule="auto"/>
        <w:ind w:left="142"/>
        <w:rPr>
          <w:rFonts w:ascii="宋体" w:hAnsi="宋体" w:eastAsia="宋体" w:cs="宋体"/>
          <w:szCs w:val="21"/>
        </w:rPr>
      </w:pPr>
    </w:p>
    <w:p>
      <w:pPr>
        <w:spacing w:line="360" w:lineRule="auto"/>
        <w:ind w:left="142"/>
        <w:rPr>
          <w:rFonts w:ascii="宋体" w:hAnsi="宋体" w:eastAsia="宋体" w:cs="宋体"/>
          <w:szCs w:val="21"/>
        </w:rPr>
      </w:pPr>
    </w:p>
    <w:p>
      <w:pPr>
        <w:spacing w:line="360" w:lineRule="auto"/>
        <w:ind w:left="142"/>
        <w:rPr>
          <w:rFonts w:ascii="宋体" w:hAnsi="宋体" w:eastAsia="宋体" w:cs="宋体"/>
          <w:szCs w:val="21"/>
        </w:rPr>
      </w:pPr>
    </w:p>
    <w:p>
      <w:pPr>
        <w:spacing w:line="360" w:lineRule="auto"/>
        <w:ind w:left="142"/>
      </w:pPr>
      <w:r>
        <w:rPr>
          <w:rFonts w:hint="eastAsia"/>
        </w:rPr>
        <w:t>二次提示确认</w:t>
      </w:r>
    </w:p>
    <w:p>
      <w:pPr>
        <w:spacing w:line="360" w:lineRule="auto"/>
        <w:ind w:left="142"/>
      </w:pPr>
      <w:r>
        <w:rPr>
          <w:lang/>
        </w:rPr>
        <w:drawing>
          <wp:inline distT="0" distB="0" distL="114300" distR="114300">
            <wp:extent cx="5269865" cy="2762885"/>
            <wp:effectExtent l="0" t="0" r="3175" b="1079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42"/>
      </w:pPr>
      <w:r>
        <w:rPr>
          <w:rFonts w:hint="eastAsia"/>
        </w:rPr>
        <w:t>单位用油加油成功提示</w:t>
      </w:r>
    </w:p>
    <w:p>
      <w:pPr>
        <w:spacing w:line="360" w:lineRule="auto"/>
        <w:ind w:left="142"/>
      </w:pPr>
      <w:r>
        <w:rPr>
          <w:lang/>
        </w:rPr>
        <w:drawing>
          <wp:inline distT="0" distB="0" distL="114300" distR="114300">
            <wp:extent cx="5269865" cy="2762885"/>
            <wp:effectExtent l="0" t="0" r="3175" b="1079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4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【注意: </w:t>
      </w:r>
      <w:r>
        <w:rPr>
          <w:rFonts w:hint="eastAsia" w:ascii="宋体" w:hAnsi="宋体" w:eastAsia="宋体" w:cs="宋体"/>
          <w:color w:val="ED7D31"/>
          <w:szCs w:val="21"/>
          <w:shd w:val="clear" w:color="auto" w:fill="FFFFFF"/>
        </w:rPr>
        <w:t>到期时间系统自动生成，有效期</w:t>
      </w:r>
      <w:r>
        <w:rPr>
          <w:rFonts w:ascii="宋体" w:hAnsi="宋体" w:eastAsia="宋体" w:cs="宋体"/>
          <w:color w:val="ED7D31"/>
          <w:szCs w:val="21"/>
          <w:shd w:val="clear" w:color="auto" w:fill="FFFFFF"/>
        </w:rPr>
        <w:t>2</w:t>
      </w:r>
      <w:r>
        <w:rPr>
          <w:rFonts w:hint="eastAsia" w:ascii="宋体" w:hAnsi="宋体" w:eastAsia="宋体" w:cs="宋体"/>
          <w:color w:val="ED7D31"/>
          <w:szCs w:val="21"/>
          <w:shd w:val="clear" w:color="auto" w:fill="FFFFFF"/>
        </w:rPr>
        <w:t>周</w:t>
      </w:r>
      <w:r>
        <w:rPr>
          <w:rFonts w:hint="eastAsia" w:ascii="宋体" w:hAnsi="宋体" w:eastAsia="宋体" w:cs="宋体"/>
          <w:szCs w:val="21"/>
        </w:rPr>
        <w:t>】</w:t>
      </w:r>
    </w:p>
    <w:p>
      <w:pPr>
        <w:spacing w:line="360" w:lineRule="auto"/>
        <w:ind w:left="14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【注意: </w:t>
      </w:r>
      <w:r>
        <w:rPr>
          <w:rFonts w:hint="eastAsia" w:ascii="宋体" w:hAnsi="宋体" w:eastAsia="宋体" w:cs="宋体"/>
          <w:color w:val="ED7D31"/>
          <w:szCs w:val="21"/>
          <w:shd w:val="clear" w:color="auto" w:fill="FFFFFF"/>
        </w:rPr>
        <w:t>柴油没有限制，汽油最多6</w:t>
      </w:r>
      <w:r>
        <w:rPr>
          <w:rFonts w:ascii="宋体" w:hAnsi="宋体" w:eastAsia="宋体" w:cs="宋体"/>
          <w:color w:val="ED7D31"/>
          <w:szCs w:val="21"/>
          <w:shd w:val="clear" w:color="auto" w:fill="FFFFFF"/>
        </w:rPr>
        <w:t>0</w:t>
      </w:r>
      <w:r>
        <w:rPr>
          <w:rFonts w:hint="eastAsia" w:ascii="宋体" w:hAnsi="宋体" w:eastAsia="宋体" w:cs="宋体"/>
          <w:color w:val="ED7D31"/>
          <w:szCs w:val="21"/>
          <w:shd w:val="clear" w:color="auto" w:fill="FFFFFF"/>
        </w:rPr>
        <w:t>升</w:t>
      </w:r>
      <w:r>
        <w:rPr>
          <w:rFonts w:hint="eastAsia" w:ascii="宋体" w:hAnsi="宋体" w:eastAsia="宋体" w:cs="宋体"/>
          <w:szCs w:val="21"/>
        </w:rPr>
        <w:t>】</w:t>
      </w: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  <w:r>
        <w:rPr>
          <w:rFonts w:hint="eastAsia"/>
        </w:rPr>
        <w:t>用油添加成功提示</w:t>
      </w:r>
    </w:p>
    <w:p>
      <w:pPr>
        <w:spacing w:line="360" w:lineRule="auto"/>
        <w:ind w:left="142"/>
      </w:pPr>
      <w:r>
        <w:rPr>
          <w:lang/>
        </w:rPr>
        <w:drawing>
          <wp:inline distT="0" distB="0" distL="114300" distR="114300">
            <wp:extent cx="5278120" cy="2595880"/>
            <wp:effectExtent l="0" t="0" r="10160" b="10160"/>
            <wp:docPr id="2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42"/>
      </w:pPr>
      <w:r>
        <w:rPr>
          <w:rFonts w:hint="eastAsia"/>
        </w:rPr>
        <w:t>当用油项目未提交流程时，再次点击左侧【用油添加】按钮 进入用油编辑页面</w:t>
      </w:r>
    </w:p>
    <w:p>
      <w:pPr>
        <w:spacing w:line="360" w:lineRule="auto"/>
        <w:ind w:left="142"/>
      </w:pPr>
      <w:r>
        <w:rPr>
          <w:lang/>
        </w:rPr>
        <w:drawing>
          <wp:inline distT="0" distB="0" distL="114300" distR="114300">
            <wp:extent cx="5278120" cy="2595880"/>
            <wp:effectExtent l="0" t="0" r="10160" b="10160"/>
            <wp:docPr id="2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42"/>
      </w:pPr>
      <w:r>
        <w:rPr>
          <w:rFonts w:hint="eastAsia"/>
        </w:rPr>
        <w:t>当前页面数据为上次添加且未提交流程的用油项目信息</w:t>
      </w: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firstLine="210" w:firstLineChars="100"/>
      </w:pPr>
      <w:r>
        <w:rPr>
          <w:rFonts w:hint="eastAsia"/>
        </w:rPr>
        <w:t>编辑需要修改的地方，点击底部【保存/修改】完成用油编辑</w:t>
      </w:r>
    </w:p>
    <w:p>
      <w:pPr>
        <w:spacing w:line="360" w:lineRule="auto"/>
        <w:ind w:firstLine="210" w:firstLineChars="100"/>
      </w:pPr>
      <w:r>
        <w:rPr>
          <w:lang/>
        </w:rPr>
        <w:drawing>
          <wp:inline distT="0" distB="0" distL="114300" distR="114300">
            <wp:extent cx="5269865" cy="2762885"/>
            <wp:effectExtent l="0" t="0" r="3175" b="1079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 w:firstLineChars="100"/>
      </w:pPr>
      <w:r>
        <w:rPr>
          <w:rFonts w:hint="eastAsia"/>
        </w:rPr>
        <w:t>二次编辑确认</w:t>
      </w:r>
    </w:p>
    <w:p>
      <w:pPr>
        <w:spacing w:line="360" w:lineRule="auto"/>
        <w:ind w:left="142"/>
      </w:pPr>
      <w:r>
        <w:rPr>
          <w:lang/>
        </w:rPr>
        <w:drawing>
          <wp:inline distT="0" distB="0" distL="114300" distR="114300">
            <wp:extent cx="5269865" cy="2762885"/>
            <wp:effectExtent l="0" t="0" r="3175" b="1079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  <w:r>
        <w:rPr>
          <w:rFonts w:hint="eastAsia"/>
        </w:rPr>
        <w:t>编辑成功提示</w:t>
      </w:r>
    </w:p>
    <w:p>
      <w:pPr>
        <w:spacing w:line="360" w:lineRule="auto"/>
        <w:ind w:left="142"/>
      </w:pPr>
      <w:r>
        <w:rPr>
          <w:lang/>
        </w:rPr>
        <w:drawing>
          <wp:inline distT="0" distB="0" distL="114300" distR="114300">
            <wp:extent cx="5278120" cy="2595880"/>
            <wp:effectExtent l="0" t="0" r="10160" b="10160"/>
            <wp:docPr id="2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 w:firstLineChars="100"/>
      </w:pPr>
    </w:p>
    <w:p>
      <w:pPr>
        <w:spacing w:line="360" w:lineRule="auto"/>
        <w:ind w:firstLine="210" w:firstLineChars="100"/>
      </w:pPr>
    </w:p>
    <w:p>
      <w:pPr>
        <w:spacing w:line="360" w:lineRule="auto"/>
        <w:ind w:firstLine="210" w:firstLineChars="100"/>
      </w:pPr>
    </w:p>
    <w:p>
      <w:pPr>
        <w:spacing w:line="360" w:lineRule="auto"/>
        <w:ind w:firstLine="210" w:firstLineChars="100"/>
      </w:pPr>
    </w:p>
    <w:p>
      <w:pPr>
        <w:spacing w:line="360" w:lineRule="auto"/>
        <w:ind w:firstLine="210" w:firstLineChars="100"/>
      </w:pPr>
    </w:p>
    <w:p>
      <w:pPr>
        <w:spacing w:line="360" w:lineRule="auto"/>
        <w:ind w:firstLine="210" w:firstLineChars="100"/>
      </w:pPr>
    </w:p>
    <w:p>
      <w:pPr>
        <w:spacing w:line="360" w:lineRule="auto"/>
        <w:ind w:firstLine="210" w:firstLineChars="100"/>
      </w:pPr>
    </w:p>
    <w:p>
      <w:pPr>
        <w:spacing w:line="360" w:lineRule="auto"/>
        <w:ind w:firstLine="210" w:firstLineChars="100"/>
      </w:pPr>
    </w:p>
    <w:p>
      <w:pPr>
        <w:spacing w:line="360" w:lineRule="auto"/>
        <w:ind w:firstLine="210" w:firstLineChars="100"/>
      </w:pPr>
    </w:p>
    <w:p>
      <w:pPr>
        <w:spacing w:line="360" w:lineRule="auto"/>
        <w:ind w:firstLine="210" w:firstLineChars="100"/>
      </w:pPr>
      <w:r>
        <w:rPr>
          <w:rFonts w:hint="eastAsia"/>
        </w:rPr>
        <w:t>点击底部【提交流程】 按钮，提交用油项目流程</w:t>
      </w:r>
    </w:p>
    <w:p>
      <w:pPr>
        <w:spacing w:line="360" w:lineRule="auto"/>
        <w:ind w:left="142"/>
      </w:pPr>
      <w:r>
        <w:rPr>
          <w:lang/>
        </w:rPr>
        <w:drawing>
          <wp:inline distT="0" distB="0" distL="114300" distR="114300">
            <wp:extent cx="5278120" cy="2595880"/>
            <wp:effectExtent l="0" t="0" r="10160" b="10160"/>
            <wp:docPr id="2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42"/>
      </w:pPr>
      <w:r>
        <w:rPr>
          <w:rFonts w:hint="eastAsia"/>
        </w:rPr>
        <w:t>流程提交成功提示</w:t>
      </w:r>
    </w:p>
    <w:p>
      <w:pPr>
        <w:spacing w:line="360" w:lineRule="auto"/>
        <w:ind w:left="142"/>
      </w:pPr>
      <w:r>
        <w:rPr>
          <w:lang/>
        </w:rPr>
        <w:drawing>
          <wp:inline distT="0" distB="0" distL="114300" distR="114300">
            <wp:extent cx="5278120" cy="2595880"/>
            <wp:effectExtent l="0" t="0" r="10160" b="10160"/>
            <wp:docPr id="2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4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【注意: </w:t>
      </w:r>
      <w:r>
        <w:rPr>
          <w:rFonts w:hint="eastAsia" w:ascii="宋体" w:hAnsi="宋体" w:eastAsia="宋体" w:cs="宋体"/>
          <w:color w:val="ED7D31"/>
          <w:szCs w:val="21"/>
          <w:shd w:val="clear" w:color="auto" w:fill="FFFFFF"/>
        </w:rPr>
        <w:t>人员不能已绑定相同加油站的用油项目</w:t>
      </w:r>
      <w:r>
        <w:rPr>
          <w:rFonts w:hint="eastAsia" w:ascii="宋体" w:hAnsi="宋体" w:eastAsia="宋体" w:cs="宋体"/>
          <w:szCs w:val="21"/>
        </w:rPr>
        <w:t>】</w: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ind w:left="142"/>
      </w:pPr>
      <w:r>
        <w:rPr>
          <w:rFonts w:hint="eastAsia"/>
        </w:rPr>
        <w:t>点击导入模板可以导入已提交流程的项目</w:t>
      </w:r>
    </w:p>
    <w:p>
      <w:pPr>
        <w:spacing w:line="360" w:lineRule="auto"/>
        <w:ind w:left="142"/>
      </w:pPr>
      <w:r>
        <w:rPr>
          <w:lang/>
        </w:rPr>
        <w:drawing>
          <wp:inline distT="0" distB="0" distL="114300" distR="114300">
            <wp:extent cx="5278120" cy="2761615"/>
            <wp:effectExtent l="0" t="0" r="10160" b="1206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</w:p>
    <w:p>
      <w:pPr>
        <w:spacing w:line="360" w:lineRule="auto"/>
        <w:ind w:left="142"/>
      </w:pPr>
      <w:r>
        <w:rPr>
          <w:rFonts w:hint="eastAsia"/>
        </w:rPr>
        <w:t>点击选择 提示选择成功</w:t>
      </w:r>
    </w:p>
    <w:p>
      <w:pPr>
        <w:spacing w:line="360" w:lineRule="auto"/>
        <w:ind w:left="142"/>
      </w:pPr>
      <w:r>
        <w:rPr>
          <w:lang/>
        </w:rPr>
        <w:drawing>
          <wp:inline distT="0" distB="0" distL="114300" distR="114300">
            <wp:extent cx="5278120" cy="2761615"/>
            <wp:effectExtent l="0" t="0" r="10160" b="1206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1"/>
          <w:numId w:val="1"/>
        </w:numPr>
        <w:spacing w:line="360" w:lineRule="auto"/>
        <w:jc w:val="left"/>
        <w:rPr>
          <w:rFonts w:ascii="宋体" w:hAnsi="宋体" w:eastAsia="宋体"/>
          <w:sz w:val="28"/>
          <w:szCs w:val="28"/>
        </w:rPr>
      </w:pPr>
      <w:bookmarkStart w:id="13" w:name="_Toc77749878"/>
      <w:bookmarkStart w:id="14" w:name="_Toc80271675"/>
      <w:r>
        <w:rPr>
          <w:rFonts w:hint="eastAsia" w:ascii="宋体" w:hAnsi="宋体" w:eastAsia="宋体"/>
          <w:sz w:val="28"/>
          <w:szCs w:val="28"/>
        </w:rPr>
        <w:t>用油</w:t>
      </w:r>
      <w:bookmarkEnd w:id="13"/>
      <w:r>
        <w:rPr>
          <w:rFonts w:hint="eastAsia" w:ascii="宋体" w:hAnsi="宋体" w:eastAsia="宋体"/>
          <w:sz w:val="28"/>
          <w:szCs w:val="28"/>
        </w:rPr>
        <w:t>查询</w:t>
      </w:r>
      <w:bookmarkEnd w:id="14"/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点击左侧【用油查询】 进入用油查询页</w:t>
      </w:r>
    </w:p>
    <w:p>
      <w:r>
        <w:rPr>
          <w:lang/>
        </w:rPr>
        <w:drawing>
          <wp:inline distT="0" distB="0" distL="114300" distR="114300">
            <wp:extent cx="5278120" cy="2761615"/>
            <wp:effectExtent l="0" t="0" r="10160" b="12065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r>
        <w:rPr>
          <w:rFonts w:hint="eastAsia"/>
        </w:rPr>
        <w:t>填写需要筛选的搜索条件，点击搜索按钮，进行查询</w:t>
      </w:r>
    </w:p>
    <w:p>
      <w:r>
        <w:rPr>
          <w:lang/>
        </w:rPr>
        <w:drawing>
          <wp:inline distT="0" distB="0" distL="114300" distR="114300">
            <wp:extent cx="5278120" cy="2761615"/>
            <wp:effectExtent l="0" t="0" r="10160" b="12065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r>
        <w:rPr>
          <w:rFonts w:hint="eastAsia"/>
        </w:rPr>
        <w:t>点击右侧【详情】按钮 进入用油详情页面</w:t>
      </w:r>
    </w:p>
    <w:p>
      <w:r>
        <w:rPr>
          <w:lang/>
        </w:rPr>
        <w:drawing>
          <wp:inline distT="0" distB="0" distL="114300" distR="114300">
            <wp:extent cx="5278120" cy="2595880"/>
            <wp:effectExtent l="0" t="0" r="10160" b="10160"/>
            <wp:docPr id="34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点击顶部【流程信息】按钮，可查看当前用油项目的所有流程信息</w:t>
      </w:r>
    </w:p>
    <w:p>
      <w:r>
        <w:rPr>
          <w:lang/>
        </w:rPr>
        <w:drawing>
          <wp:inline distT="0" distB="0" distL="114300" distR="114300">
            <wp:extent cx="5278120" cy="2595880"/>
            <wp:effectExtent l="0" t="0" r="10160" b="10160"/>
            <wp:docPr id="35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点击顶部【加油人员】按钮，查看用油项目绑定的加油人员信息</w:t>
      </w:r>
    </w:p>
    <w:p>
      <w:r>
        <w:rPr>
          <w:lang/>
        </w:rPr>
        <w:drawing>
          <wp:inline distT="0" distB="0" distL="114300" distR="114300">
            <wp:extent cx="5278120" cy="2595880"/>
            <wp:effectExtent l="0" t="0" r="10160" b="10160"/>
            <wp:docPr id="36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点击顶部【加油信息】查看当前用油项目加油记录</w:t>
      </w:r>
    </w:p>
    <w:p>
      <w:r>
        <w:rPr>
          <w:lang/>
        </w:rPr>
        <w:drawing>
          <wp:inline distT="0" distB="0" distL="114300" distR="114300">
            <wp:extent cx="5278120" cy="2595880"/>
            <wp:effectExtent l="0" t="0" r="10160" b="10160"/>
            <wp:docPr id="37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first"/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Wingdings">
    <w:panose1 w:val="05000000000000000000"/>
    <w:charset w:val="00"/>
    <w:family w:val="decorative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left" w:pos="2423"/>
        <w:tab w:val="clear" w:pos="4153"/>
      </w:tabs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20650" cy="154940"/>
              <wp:effectExtent l="0" t="0" r="0" b="0"/>
              <wp:wrapNone/>
              <wp:docPr id="38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650" cy="1549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7" o:spid="_x0000_s1026" o:spt="202" type="#_x0000_t202" style="position:absolute;left:0pt;margin-top:0pt;height:12.2pt;width:9.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Q8+VX0gAAAAMBAAAPAAAAAAAAAAEAIAAAACIA&#10;AABkcnMvZG93bnJldi54bWxQSwECFAAUAAAACACHTuJAdzKUNtYBAAChAwAADgAAAAAAAAABACAA&#10;AAAhAQAAZHJzL2Uyb0RvYy54bWxQSwUGAAAAAAYABgBZAQAAa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20650" cy="154940"/>
              <wp:effectExtent l="0" t="0" r="0" b="0"/>
              <wp:wrapNone/>
              <wp:docPr id="39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650" cy="1549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" o:spid="_x0000_s1026" o:spt="202" type="#_x0000_t202" style="position:absolute;left:0pt;margin-top:0pt;height:12.2pt;width:9.5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Q8+VX0gAAAAMBAAAPAAAAAAAAAAEAIAAAACIA&#10;AABkcnMvZG93bnJldi54bWxQSwECFAAUAAAACACHTuJAPrq3pdYBAACiAwAADgAAAAAAAAABACAA&#10;AAAhAQAAZHJzL2Uyb0RvYy54bWxQSwUGAAAAAAYABgBZAQAAa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  <w:rPr>
        <w:rFonts w:ascii="宋体" w:hAnsi="宋体" w:eastAsia="宋体"/>
      </w:rPr>
    </w:pPr>
    <w:r>
      <w:rPr>
        <w:rFonts w:hint="eastAsia" w:ascii="宋体" w:hAnsi="宋体" w:eastAsia="宋体"/>
      </w:rPr>
      <w:t>加油站散装汽柴油销售时实时信息系统 单位应用平台 操作说明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B65618"/>
    <w:multiLevelType w:val="multilevel"/>
    <w:tmpl w:val="22B65618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709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54FE6593"/>
    <w:multiLevelType w:val="multilevel"/>
    <w:tmpl w:val="54FE659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FiZDhjMzllZWE0MjM5NTBiZjMzNDM0OTI3ZDFkMDMifQ=="/>
  </w:docVars>
  <w:rsids>
    <w:rsidRoot w:val="00172A27"/>
    <w:rsid w:val="00006921"/>
    <w:rsid w:val="0001111E"/>
    <w:rsid w:val="00013F0D"/>
    <w:rsid w:val="00017F15"/>
    <w:rsid w:val="00025AE2"/>
    <w:rsid w:val="00033A02"/>
    <w:rsid w:val="000378C3"/>
    <w:rsid w:val="00050AA1"/>
    <w:rsid w:val="00052BD7"/>
    <w:rsid w:val="00061696"/>
    <w:rsid w:val="00063CFF"/>
    <w:rsid w:val="0007081F"/>
    <w:rsid w:val="00070AB4"/>
    <w:rsid w:val="0008514E"/>
    <w:rsid w:val="00092903"/>
    <w:rsid w:val="00093D74"/>
    <w:rsid w:val="000958DD"/>
    <w:rsid w:val="00096172"/>
    <w:rsid w:val="000A2898"/>
    <w:rsid w:val="000A3601"/>
    <w:rsid w:val="000A3DF5"/>
    <w:rsid w:val="000A43B9"/>
    <w:rsid w:val="000A6EBC"/>
    <w:rsid w:val="000B46E0"/>
    <w:rsid w:val="000B5907"/>
    <w:rsid w:val="000B7582"/>
    <w:rsid w:val="000C27E8"/>
    <w:rsid w:val="000C3824"/>
    <w:rsid w:val="000C51DF"/>
    <w:rsid w:val="000C57FF"/>
    <w:rsid w:val="000D1532"/>
    <w:rsid w:val="000E0D63"/>
    <w:rsid w:val="000E1B67"/>
    <w:rsid w:val="000E545D"/>
    <w:rsid w:val="000E7E3F"/>
    <w:rsid w:val="000F7808"/>
    <w:rsid w:val="00105875"/>
    <w:rsid w:val="001141DD"/>
    <w:rsid w:val="0011789F"/>
    <w:rsid w:val="00122AF7"/>
    <w:rsid w:val="001260A8"/>
    <w:rsid w:val="0013793C"/>
    <w:rsid w:val="00140850"/>
    <w:rsid w:val="00140FF6"/>
    <w:rsid w:val="00160941"/>
    <w:rsid w:val="00161104"/>
    <w:rsid w:val="00171296"/>
    <w:rsid w:val="00172A27"/>
    <w:rsid w:val="00176E33"/>
    <w:rsid w:val="00177442"/>
    <w:rsid w:val="00182F31"/>
    <w:rsid w:val="00185E50"/>
    <w:rsid w:val="001914DF"/>
    <w:rsid w:val="0019477F"/>
    <w:rsid w:val="001960B2"/>
    <w:rsid w:val="001B490B"/>
    <w:rsid w:val="001B5080"/>
    <w:rsid w:val="001B6DA7"/>
    <w:rsid w:val="001D5D6A"/>
    <w:rsid w:val="001E1EB1"/>
    <w:rsid w:val="001E60CB"/>
    <w:rsid w:val="00205827"/>
    <w:rsid w:val="002152B1"/>
    <w:rsid w:val="00225D5D"/>
    <w:rsid w:val="00226F27"/>
    <w:rsid w:val="00231519"/>
    <w:rsid w:val="0024183D"/>
    <w:rsid w:val="002441E4"/>
    <w:rsid w:val="00247BA5"/>
    <w:rsid w:val="00247E3C"/>
    <w:rsid w:val="0025177A"/>
    <w:rsid w:val="00257585"/>
    <w:rsid w:val="0026153F"/>
    <w:rsid w:val="00262DC4"/>
    <w:rsid w:val="00267DE8"/>
    <w:rsid w:val="00270ACA"/>
    <w:rsid w:val="0027100B"/>
    <w:rsid w:val="002837B5"/>
    <w:rsid w:val="002875C8"/>
    <w:rsid w:val="00290A1C"/>
    <w:rsid w:val="0029447B"/>
    <w:rsid w:val="002A0254"/>
    <w:rsid w:val="002A510B"/>
    <w:rsid w:val="002B0475"/>
    <w:rsid w:val="002D545D"/>
    <w:rsid w:val="002E7092"/>
    <w:rsid w:val="002E70CC"/>
    <w:rsid w:val="002F41D0"/>
    <w:rsid w:val="00300F04"/>
    <w:rsid w:val="00307537"/>
    <w:rsid w:val="00315DE6"/>
    <w:rsid w:val="003207C2"/>
    <w:rsid w:val="00320ACC"/>
    <w:rsid w:val="003219D2"/>
    <w:rsid w:val="00355C10"/>
    <w:rsid w:val="00356726"/>
    <w:rsid w:val="00364A1A"/>
    <w:rsid w:val="00376836"/>
    <w:rsid w:val="00387404"/>
    <w:rsid w:val="00390660"/>
    <w:rsid w:val="003A160E"/>
    <w:rsid w:val="003A3D21"/>
    <w:rsid w:val="003B22C9"/>
    <w:rsid w:val="003C3C2E"/>
    <w:rsid w:val="003C75F5"/>
    <w:rsid w:val="003D6901"/>
    <w:rsid w:val="003E1158"/>
    <w:rsid w:val="003F04C1"/>
    <w:rsid w:val="003F10A8"/>
    <w:rsid w:val="00405726"/>
    <w:rsid w:val="00406E15"/>
    <w:rsid w:val="00411A21"/>
    <w:rsid w:val="0041761B"/>
    <w:rsid w:val="004249EC"/>
    <w:rsid w:val="00425670"/>
    <w:rsid w:val="004310BC"/>
    <w:rsid w:val="00435416"/>
    <w:rsid w:val="0045125F"/>
    <w:rsid w:val="0046539F"/>
    <w:rsid w:val="004712FE"/>
    <w:rsid w:val="00471C8A"/>
    <w:rsid w:val="00475190"/>
    <w:rsid w:val="00487392"/>
    <w:rsid w:val="004958BA"/>
    <w:rsid w:val="004A4EC3"/>
    <w:rsid w:val="004A5DA0"/>
    <w:rsid w:val="004B7DE7"/>
    <w:rsid w:val="004C0F6C"/>
    <w:rsid w:val="004D0E95"/>
    <w:rsid w:val="004D19F1"/>
    <w:rsid w:val="004D25A4"/>
    <w:rsid w:val="004D387D"/>
    <w:rsid w:val="004F393E"/>
    <w:rsid w:val="0051196B"/>
    <w:rsid w:val="005127D8"/>
    <w:rsid w:val="00516FE0"/>
    <w:rsid w:val="00523AAD"/>
    <w:rsid w:val="005272D1"/>
    <w:rsid w:val="00535A33"/>
    <w:rsid w:val="005361E6"/>
    <w:rsid w:val="00540E40"/>
    <w:rsid w:val="00544B2B"/>
    <w:rsid w:val="005504F6"/>
    <w:rsid w:val="00551F55"/>
    <w:rsid w:val="00560319"/>
    <w:rsid w:val="0059125B"/>
    <w:rsid w:val="00593A9F"/>
    <w:rsid w:val="005A2054"/>
    <w:rsid w:val="005A371C"/>
    <w:rsid w:val="005A5A60"/>
    <w:rsid w:val="005B1DB0"/>
    <w:rsid w:val="005B2AD2"/>
    <w:rsid w:val="005C49DE"/>
    <w:rsid w:val="005C73AD"/>
    <w:rsid w:val="005D67F3"/>
    <w:rsid w:val="005E0793"/>
    <w:rsid w:val="005E7874"/>
    <w:rsid w:val="005F0BB6"/>
    <w:rsid w:val="005F1009"/>
    <w:rsid w:val="00602B95"/>
    <w:rsid w:val="00604793"/>
    <w:rsid w:val="00606064"/>
    <w:rsid w:val="00610743"/>
    <w:rsid w:val="006156F4"/>
    <w:rsid w:val="00621628"/>
    <w:rsid w:val="00632F0F"/>
    <w:rsid w:val="00636FE0"/>
    <w:rsid w:val="006408F1"/>
    <w:rsid w:val="00654780"/>
    <w:rsid w:val="00672530"/>
    <w:rsid w:val="006730A5"/>
    <w:rsid w:val="00673D59"/>
    <w:rsid w:val="0068675A"/>
    <w:rsid w:val="006A512D"/>
    <w:rsid w:val="006A7779"/>
    <w:rsid w:val="006B0FAF"/>
    <w:rsid w:val="006C3C8F"/>
    <w:rsid w:val="006C6AD3"/>
    <w:rsid w:val="006D1DFD"/>
    <w:rsid w:val="006D2FC1"/>
    <w:rsid w:val="006D3800"/>
    <w:rsid w:val="006D759D"/>
    <w:rsid w:val="006E01AF"/>
    <w:rsid w:val="006E2EBB"/>
    <w:rsid w:val="006E4A57"/>
    <w:rsid w:val="006F3349"/>
    <w:rsid w:val="007015F4"/>
    <w:rsid w:val="00703EA2"/>
    <w:rsid w:val="007273B9"/>
    <w:rsid w:val="00735200"/>
    <w:rsid w:val="00735DCD"/>
    <w:rsid w:val="00746DDE"/>
    <w:rsid w:val="007513FA"/>
    <w:rsid w:val="00763FC0"/>
    <w:rsid w:val="007717E0"/>
    <w:rsid w:val="007818BE"/>
    <w:rsid w:val="00785BFA"/>
    <w:rsid w:val="007860E0"/>
    <w:rsid w:val="0078633A"/>
    <w:rsid w:val="007979C7"/>
    <w:rsid w:val="007B1CC9"/>
    <w:rsid w:val="007B3454"/>
    <w:rsid w:val="007C2D25"/>
    <w:rsid w:val="007C47B8"/>
    <w:rsid w:val="007D45C4"/>
    <w:rsid w:val="007E0E79"/>
    <w:rsid w:val="007E4AB9"/>
    <w:rsid w:val="007F34CD"/>
    <w:rsid w:val="007F4D1D"/>
    <w:rsid w:val="007F7523"/>
    <w:rsid w:val="008023A1"/>
    <w:rsid w:val="008044A2"/>
    <w:rsid w:val="008076DE"/>
    <w:rsid w:val="008125EA"/>
    <w:rsid w:val="008206FC"/>
    <w:rsid w:val="008249C5"/>
    <w:rsid w:val="00836D15"/>
    <w:rsid w:val="0085038E"/>
    <w:rsid w:val="00857C47"/>
    <w:rsid w:val="00875F32"/>
    <w:rsid w:val="00886AFB"/>
    <w:rsid w:val="00897F02"/>
    <w:rsid w:val="008A6270"/>
    <w:rsid w:val="008A7DE2"/>
    <w:rsid w:val="008B6E9A"/>
    <w:rsid w:val="008C0C8C"/>
    <w:rsid w:val="008C57D6"/>
    <w:rsid w:val="008D6BC0"/>
    <w:rsid w:val="00901E0F"/>
    <w:rsid w:val="009033DF"/>
    <w:rsid w:val="00904B6B"/>
    <w:rsid w:val="00911656"/>
    <w:rsid w:val="009226FA"/>
    <w:rsid w:val="009459CB"/>
    <w:rsid w:val="00947603"/>
    <w:rsid w:val="009476FB"/>
    <w:rsid w:val="00953278"/>
    <w:rsid w:val="009541D7"/>
    <w:rsid w:val="00960AF8"/>
    <w:rsid w:val="00963C76"/>
    <w:rsid w:val="00971593"/>
    <w:rsid w:val="00971A7E"/>
    <w:rsid w:val="0097532C"/>
    <w:rsid w:val="00986C5C"/>
    <w:rsid w:val="009A2246"/>
    <w:rsid w:val="009A7811"/>
    <w:rsid w:val="009B3770"/>
    <w:rsid w:val="009B51A5"/>
    <w:rsid w:val="009B6661"/>
    <w:rsid w:val="009B690B"/>
    <w:rsid w:val="009C1199"/>
    <w:rsid w:val="009C6811"/>
    <w:rsid w:val="009D35DB"/>
    <w:rsid w:val="009D7921"/>
    <w:rsid w:val="009E20DB"/>
    <w:rsid w:val="009E2216"/>
    <w:rsid w:val="009E23BC"/>
    <w:rsid w:val="009E3418"/>
    <w:rsid w:val="009E3B3B"/>
    <w:rsid w:val="009E3BBD"/>
    <w:rsid w:val="009E46BC"/>
    <w:rsid w:val="009E7413"/>
    <w:rsid w:val="009F3A43"/>
    <w:rsid w:val="00A021C9"/>
    <w:rsid w:val="00A233D6"/>
    <w:rsid w:val="00A32214"/>
    <w:rsid w:val="00A82683"/>
    <w:rsid w:val="00A84092"/>
    <w:rsid w:val="00A85FCB"/>
    <w:rsid w:val="00A90047"/>
    <w:rsid w:val="00A97AD3"/>
    <w:rsid w:val="00AA3656"/>
    <w:rsid w:val="00AA484B"/>
    <w:rsid w:val="00AA5D61"/>
    <w:rsid w:val="00AB70F8"/>
    <w:rsid w:val="00AD12D8"/>
    <w:rsid w:val="00AD71FF"/>
    <w:rsid w:val="00AF07E5"/>
    <w:rsid w:val="00AF297B"/>
    <w:rsid w:val="00AF7643"/>
    <w:rsid w:val="00AF7B8B"/>
    <w:rsid w:val="00B021DD"/>
    <w:rsid w:val="00B02CFE"/>
    <w:rsid w:val="00B05879"/>
    <w:rsid w:val="00B05E61"/>
    <w:rsid w:val="00B11618"/>
    <w:rsid w:val="00B1302F"/>
    <w:rsid w:val="00B149DF"/>
    <w:rsid w:val="00B17C6B"/>
    <w:rsid w:val="00B20CAD"/>
    <w:rsid w:val="00B21881"/>
    <w:rsid w:val="00B244B9"/>
    <w:rsid w:val="00B263C9"/>
    <w:rsid w:val="00B35271"/>
    <w:rsid w:val="00B3620F"/>
    <w:rsid w:val="00B417A5"/>
    <w:rsid w:val="00B50ADA"/>
    <w:rsid w:val="00B70447"/>
    <w:rsid w:val="00B82D25"/>
    <w:rsid w:val="00B83F58"/>
    <w:rsid w:val="00B84590"/>
    <w:rsid w:val="00B85146"/>
    <w:rsid w:val="00B87E53"/>
    <w:rsid w:val="00B90795"/>
    <w:rsid w:val="00B959C5"/>
    <w:rsid w:val="00BB27C8"/>
    <w:rsid w:val="00BC3AC2"/>
    <w:rsid w:val="00BC62E4"/>
    <w:rsid w:val="00BD45EF"/>
    <w:rsid w:val="00BD4682"/>
    <w:rsid w:val="00BD5842"/>
    <w:rsid w:val="00BD6BB4"/>
    <w:rsid w:val="00BD7A7E"/>
    <w:rsid w:val="00BE1F19"/>
    <w:rsid w:val="00BE2A70"/>
    <w:rsid w:val="00BF2B0D"/>
    <w:rsid w:val="00C05EDE"/>
    <w:rsid w:val="00C116A3"/>
    <w:rsid w:val="00C31E0E"/>
    <w:rsid w:val="00C353AE"/>
    <w:rsid w:val="00C407AB"/>
    <w:rsid w:val="00C43BCE"/>
    <w:rsid w:val="00C53E9E"/>
    <w:rsid w:val="00C54E6C"/>
    <w:rsid w:val="00C6549B"/>
    <w:rsid w:val="00C67E71"/>
    <w:rsid w:val="00C74875"/>
    <w:rsid w:val="00C74D63"/>
    <w:rsid w:val="00C92D2F"/>
    <w:rsid w:val="00C95C11"/>
    <w:rsid w:val="00C9664A"/>
    <w:rsid w:val="00C96E19"/>
    <w:rsid w:val="00C9700C"/>
    <w:rsid w:val="00CA2276"/>
    <w:rsid w:val="00CA5A54"/>
    <w:rsid w:val="00CB05DF"/>
    <w:rsid w:val="00CC193D"/>
    <w:rsid w:val="00CC1F39"/>
    <w:rsid w:val="00CD36D4"/>
    <w:rsid w:val="00CF1F90"/>
    <w:rsid w:val="00CF6D79"/>
    <w:rsid w:val="00CF7269"/>
    <w:rsid w:val="00D01907"/>
    <w:rsid w:val="00D03EA1"/>
    <w:rsid w:val="00D148AC"/>
    <w:rsid w:val="00D20556"/>
    <w:rsid w:val="00D31809"/>
    <w:rsid w:val="00D5079E"/>
    <w:rsid w:val="00D64CE9"/>
    <w:rsid w:val="00D74002"/>
    <w:rsid w:val="00D757F6"/>
    <w:rsid w:val="00D84925"/>
    <w:rsid w:val="00D94CD1"/>
    <w:rsid w:val="00DA1926"/>
    <w:rsid w:val="00DA33D4"/>
    <w:rsid w:val="00DA4035"/>
    <w:rsid w:val="00DB0292"/>
    <w:rsid w:val="00DB3582"/>
    <w:rsid w:val="00DB3CD2"/>
    <w:rsid w:val="00DC6B99"/>
    <w:rsid w:val="00DD1BCF"/>
    <w:rsid w:val="00DD74D2"/>
    <w:rsid w:val="00DE7595"/>
    <w:rsid w:val="00E16DA6"/>
    <w:rsid w:val="00E17BDE"/>
    <w:rsid w:val="00E239AB"/>
    <w:rsid w:val="00E27994"/>
    <w:rsid w:val="00E27DF5"/>
    <w:rsid w:val="00E32399"/>
    <w:rsid w:val="00E37D1A"/>
    <w:rsid w:val="00E37DBC"/>
    <w:rsid w:val="00E533D0"/>
    <w:rsid w:val="00E62C98"/>
    <w:rsid w:val="00E92C6C"/>
    <w:rsid w:val="00E96645"/>
    <w:rsid w:val="00E9722F"/>
    <w:rsid w:val="00EA3E86"/>
    <w:rsid w:val="00EA4431"/>
    <w:rsid w:val="00EA7B97"/>
    <w:rsid w:val="00EC69E5"/>
    <w:rsid w:val="00ED63E4"/>
    <w:rsid w:val="00ED6C3A"/>
    <w:rsid w:val="00F03853"/>
    <w:rsid w:val="00F0701F"/>
    <w:rsid w:val="00F072AD"/>
    <w:rsid w:val="00F1310D"/>
    <w:rsid w:val="00F23A53"/>
    <w:rsid w:val="00F36F83"/>
    <w:rsid w:val="00F509FC"/>
    <w:rsid w:val="00F52AF4"/>
    <w:rsid w:val="00F546BB"/>
    <w:rsid w:val="00F54EE5"/>
    <w:rsid w:val="00F54F33"/>
    <w:rsid w:val="00F845ED"/>
    <w:rsid w:val="00F87BAC"/>
    <w:rsid w:val="00F94146"/>
    <w:rsid w:val="00F96DF6"/>
    <w:rsid w:val="00F9793C"/>
    <w:rsid w:val="00FA24DC"/>
    <w:rsid w:val="00FB403C"/>
    <w:rsid w:val="00FB4957"/>
    <w:rsid w:val="00FB587D"/>
    <w:rsid w:val="00FC3731"/>
    <w:rsid w:val="00FD7DEE"/>
    <w:rsid w:val="00FE128B"/>
    <w:rsid w:val="00FE44A9"/>
    <w:rsid w:val="00FF19B2"/>
    <w:rsid w:val="00FF3473"/>
    <w:rsid w:val="00FF521A"/>
    <w:rsid w:val="01062E7C"/>
    <w:rsid w:val="0163027B"/>
    <w:rsid w:val="03112977"/>
    <w:rsid w:val="03625F75"/>
    <w:rsid w:val="04004E0E"/>
    <w:rsid w:val="041D0A12"/>
    <w:rsid w:val="04563027"/>
    <w:rsid w:val="048571CA"/>
    <w:rsid w:val="05D27967"/>
    <w:rsid w:val="061A50C4"/>
    <w:rsid w:val="06536224"/>
    <w:rsid w:val="065E4162"/>
    <w:rsid w:val="07191CDF"/>
    <w:rsid w:val="07631AED"/>
    <w:rsid w:val="08F86F46"/>
    <w:rsid w:val="0ABB0708"/>
    <w:rsid w:val="0AC11B9F"/>
    <w:rsid w:val="0B1951C0"/>
    <w:rsid w:val="0C39124D"/>
    <w:rsid w:val="0C933A53"/>
    <w:rsid w:val="0D2C4AA5"/>
    <w:rsid w:val="0DD44037"/>
    <w:rsid w:val="0F697156"/>
    <w:rsid w:val="10A75E4A"/>
    <w:rsid w:val="10D74971"/>
    <w:rsid w:val="136A58B8"/>
    <w:rsid w:val="14300189"/>
    <w:rsid w:val="14744110"/>
    <w:rsid w:val="1480402D"/>
    <w:rsid w:val="14947D5C"/>
    <w:rsid w:val="152C0836"/>
    <w:rsid w:val="155A3548"/>
    <w:rsid w:val="159A09C1"/>
    <w:rsid w:val="15D94BFA"/>
    <w:rsid w:val="1667125E"/>
    <w:rsid w:val="16717A12"/>
    <w:rsid w:val="16A349B2"/>
    <w:rsid w:val="17291C17"/>
    <w:rsid w:val="17C8760B"/>
    <w:rsid w:val="18BD4C85"/>
    <w:rsid w:val="18DB3B5B"/>
    <w:rsid w:val="18ED4C10"/>
    <w:rsid w:val="191D29D9"/>
    <w:rsid w:val="195017CF"/>
    <w:rsid w:val="19D43222"/>
    <w:rsid w:val="1A9012F2"/>
    <w:rsid w:val="1AB8221B"/>
    <w:rsid w:val="1AC12BB3"/>
    <w:rsid w:val="1ACE143B"/>
    <w:rsid w:val="1BA96E84"/>
    <w:rsid w:val="1BD572EF"/>
    <w:rsid w:val="1BE43D4D"/>
    <w:rsid w:val="1C213A86"/>
    <w:rsid w:val="1C84671B"/>
    <w:rsid w:val="1CEB7D9A"/>
    <w:rsid w:val="1D17602F"/>
    <w:rsid w:val="1D3B4512"/>
    <w:rsid w:val="1E154EA9"/>
    <w:rsid w:val="1E226F2A"/>
    <w:rsid w:val="1E83724B"/>
    <w:rsid w:val="1EB65C2F"/>
    <w:rsid w:val="1F27607E"/>
    <w:rsid w:val="1F8E763C"/>
    <w:rsid w:val="208145C2"/>
    <w:rsid w:val="208F48DF"/>
    <w:rsid w:val="21BB0CDB"/>
    <w:rsid w:val="227D58C3"/>
    <w:rsid w:val="229623A0"/>
    <w:rsid w:val="23CE25A3"/>
    <w:rsid w:val="256B37D3"/>
    <w:rsid w:val="25D8358E"/>
    <w:rsid w:val="26A1380A"/>
    <w:rsid w:val="26A87C54"/>
    <w:rsid w:val="27593A12"/>
    <w:rsid w:val="276F334E"/>
    <w:rsid w:val="28AD4125"/>
    <w:rsid w:val="28AE0D1D"/>
    <w:rsid w:val="28FF5C81"/>
    <w:rsid w:val="297519BE"/>
    <w:rsid w:val="29A15523"/>
    <w:rsid w:val="2A8C079B"/>
    <w:rsid w:val="2A947B20"/>
    <w:rsid w:val="2BE04664"/>
    <w:rsid w:val="2BEC79B5"/>
    <w:rsid w:val="2C293553"/>
    <w:rsid w:val="2C8839C9"/>
    <w:rsid w:val="2C945116"/>
    <w:rsid w:val="2D5D67C4"/>
    <w:rsid w:val="2E013B9E"/>
    <w:rsid w:val="2E2D2F26"/>
    <w:rsid w:val="2E6F6D3D"/>
    <w:rsid w:val="2EBE4A85"/>
    <w:rsid w:val="2ED1009A"/>
    <w:rsid w:val="2FE339F7"/>
    <w:rsid w:val="30AB02EE"/>
    <w:rsid w:val="32664B36"/>
    <w:rsid w:val="328E6F71"/>
    <w:rsid w:val="347E440E"/>
    <w:rsid w:val="348A3E0E"/>
    <w:rsid w:val="35AD1E73"/>
    <w:rsid w:val="36791EE9"/>
    <w:rsid w:val="371D1CCE"/>
    <w:rsid w:val="3775268A"/>
    <w:rsid w:val="390522D7"/>
    <w:rsid w:val="39185E2E"/>
    <w:rsid w:val="397628F3"/>
    <w:rsid w:val="3A7C2BB5"/>
    <w:rsid w:val="3A7E1BC9"/>
    <w:rsid w:val="3AEC2DB3"/>
    <w:rsid w:val="3B49593F"/>
    <w:rsid w:val="3B62217C"/>
    <w:rsid w:val="3B7354CF"/>
    <w:rsid w:val="3BA83B66"/>
    <w:rsid w:val="3BBC158E"/>
    <w:rsid w:val="3BBD4A65"/>
    <w:rsid w:val="3C88700C"/>
    <w:rsid w:val="3CDD3F75"/>
    <w:rsid w:val="3D8864B5"/>
    <w:rsid w:val="3DF93638"/>
    <w:rsid w:val="3E853220"/>
    <w:rsid w:val="3F5B336C"/>
    <w:rsid w:val="3FE6454F"/>
    <w:rsid w:val="3FFA2397"/>
    <w:rsid w:val="40185650"/>
    <w:rsid w:val="40CE54B5"/>
    <w:rsid w:val="41F02DEC"/>
    <w:rsid w:val="42016BCD"/>
    <w:rsid w:val="42447A0A"/>
    <w:rsid w:val="425A6B37"/>
    <w:rsid w:val="427330ED"/>
    <w:rsid w:val="43664BEC"/>
    <w:rsid w:val="44927423"/>
    <w:rsid w:val="44AA7CC3"/>
    <w:rsid w:val="44B62CC1"/>
    <w:rsid w:val="457C544B"/>
    <w:rsid w:val="46D3369D"/>
    <w:rsid w:val="479053C9"/>
    <w:rsid w:val="47EB5E74"/>
    <w:rsid w:val="47EF785F"/>
    <w:rsid w:val="47FA59F3"/>
    <w:rsid w:val="48632D8E"/>
    <w:rsid w:val="487B427C"/>
    <w:rsid w:val="49614AF6"/>
    <w:rsid w:val="49850694"/>
    <w:rsid w:val="4AFD20A5"/>
    <w:rsid w:val="4B7C04D7"/>
    <w:rsid w:val="4B825DE2"/>
    <w:rsid w:val="4BB027DB"/>
    <w:rsid w:val="4BF94D53"/>
    <w:rsid w:val="4CF66C84"/>
    <w:rsid w:val="4E892D53"/>
    <w:rsid w:val="4EE202E5"/>
    <w:rsid w:val="4F876381"/>
    <w:rsid w:val="4FAD62B2"/>
    <w:rsid w:val="4FD11C55"/>
    <w:rsid w:val="4FD44178"/>
    <w:rsid w:val="4FDD0C94"/>
    <w:rsid w:val="500C28CA"/>
    <w:rsid w:val="50633F6E"/>
    <w:rsid w:val="527319E8"/>
    <w:rsid w:val="53277CC7"/>
    <w:rsid w:val="54432918"/>
    <w:rsid w:val="54AE3573"/>
    <w:rsid w:val="54D0324C"/>
    <w:rsid w:val="55174C79"/>
    <w:rsid w:val="55BB4171"/>
    <w:rsid w:val="561916C5"/>
    <w:rsid w:val="56364F3B"/>
    <w:rsid w:val="57401C8A"/>
    <w:rsid w:val="57612BCB"/>
    <w:rsid w:val="590C157C"/>
    <w:rsid w:val="593306AE"/>
    <w:rsid w:val="59C16D57"/>
    <w:rsid w:val="59CE3AB8"/>
    <w:rsid w:val="5A0241FB"/>
    <w:rsid w:val="5BFD4D18"/>
    <w:rsid w:val="5CA13849"/>
    <w:rsid w:val="5D406FAB"/>
    <w:rsid w:val="5DEC2B45"/>
    <w:rsid w:val="5DF00B94"/>
    <w:rsid w:val="5E3D783F"/>
    <w:rsid w:val="5F017415"/>
    <w:rsid w:val="5F542620"/>
    <w:rsid w:val="5F7C2F88"/>
    <w:rsid w:val="60786395"/>
    <w:rsid w:val="60FE2439"/>
    <w:rsid w:val="63602B69"/>
    <w:rsid w:val="63CE5CCE"/>
    <w:rsid w:val="64143B20"/>
    <w:rsid w:val="64391C68"/>
    <w:rsid w:val="647B2A7D"/>
    <w:rsid w:val="655F4AC8"/>
    <w:rsid w:val="65C61A6A"/>
    <w:rsid w:val="66057F33"/>
    <w:rsid w:val="66480B17"/>
    <w:rsid w:val="668854F2"/>
    <w:rsid w:val="66A72372"/>
    <w:rsid w:val="66AE06E2"/>
    <w:rsid w:val="66BA6897"/>
    <w:rsid w:val="67BC2BF7"/>
    <w:rsid w:val="67E961B7"/>
    <w:rsid w:val="683D2036"/>
    <w:rsid w:val="69124BDC"/>
    <w:rsid w:val="695931A1"/>
    <w:rsid w:val="6A3C5BC8"/>
    <w:rsid w:val="6B2B081D"/>
    <w:rsid w:val="6C4A61EA"/>
    <w:rsid w:val="6CD925D3"/>
    <w:rsid w:val="6D607F7C"/>
    <w:rsid w:val="6D6837AC"/>
    <w:rsid w:val="6DE41B3D"/>
    <w:rsid w:val="6F422FB6"/>
    <w:rsid w:val="6FBA3A10"/>
    <w:rsid w:val="709B7781"/>
    <w:rsid w:val="70D502D9"/>
    <w:rsid w:val="722B4BE8"/>
    <w:rsid w:val="7282710B"/>
    <w:rsid w:val="736B466A"/>
    <w:rsid w:val="73B62A33"/>
    <w:rsid w:val="75CB5230"/>
    <w:rsid w:val="763B1626"/>
    <w:rsid w:val="77282ED0"/>
    <w:rsid w:val="78304EC8"/>
    <w:rsid w:val="78413DC6"/>
    <w:rsid w:val="790443EF"/>
    <w:rsid w:val="79D62573"/>
    <w:rsid w:val="7A092536"/>
    <w:rsid w:val="7ADA5735"/>
    <w:rsid w:val="7C2E2337"/>
    <w:rsid w:val="7C2E7ABF"/>
    <w:rsid w:val="7DE935E8"/>
    <w:rsid w:val="7EB22572"/>
    <w:rsid w:val="7F5D7AC9"/>
    <w:rsid w:val="7F6B1647"/>
    <w:rsid w:val="7FBE13A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qFormat="1" w:unhideWhenUsed="0" w:uiPriority="34" w:semiHidden="0" w:name="List Paragraph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Style w:val="9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  <w:style w:type="paragraph" w:styleId="3">
    <w:name w:val="Balloon Text"/>
    <w:basedOn w:val="1"/>
    <w:link w:val="23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qFormat/>
    <w:uiPriority w:val="39"/>
    <w:rPr>
      <w:rFonts w:ascii="Times New Roman" w:hAnsi="Times New Roman" w:eastAsia="宋体" w:cs="Times New Roman"/>
      <w:szCs w:val="24"/>
    </w:rPr>
  </w:style>
  <w:style w:type="paragraph" w:styleId="7">
    <w:name w:val="Subtitle"/>
    <w:basedOn w:val="1"/>
    <w:next w:val="1"/>
    <w:link w:val="18"/>
    <w:qFormat/>
    <w:uiPriority w:val="0"/>
    <w:pPr>
      <w:spacing w:before="240" w:after="60" w:line="312" w:lineRule="auto"/>
      <w:jc w:val="center"/>
      <w:outlineLvl w:val="1"/>
    </w:pPr>
    <w:rPr>
      <w:rFonts w:ascii="Cambria" w:hAnsi="Cambria" w:cs="Times New Roman"/>
      <w:b/>
      <w:bCs/>
      <w:kern w:val="28"/>
      <w:sz w:val="32"/>
      <w:szCs w:val="32"/>
    </w:rPr>
  </w:style>
  <w:style w:type="paragraph" w:styleId="8">
    <w:name w:val="toc 2"/>
    <w:basedOn w:val="1"/>
    <w:next w:val="1"/>
    <w:qFormat/>
    <w:uiPriority w:val="39"/>
    <w:pPr>
      <w:ind w:left="420" w:leftChars="200"/>
    </w:pPr>
    <w:rPr>
      <w:rFonts w:ascii="Times New Roman" w:hAnsi="Times New Roman" w:eastAsia="宋体" w:cs="Times New Roman"/>
      <w:szCs w:val="24"/>
    </w:rPr>
  </w:style>
  <w:style w:type="character" w:styleId="11">
    <w:name w:val="Hyperlink"/>
    <w:uiPriority w:val="99"/>
    <w:rPr>
      <w:color w:val="0000FF"/>
      <w:u w:val="single"/>
    </w:rPr>
  </w:style>
  <w:style w:type="character" w:customStyle="1" w:styleId="12">
    <w:name w:val="页眉 字符"/>
    <w:link w:val="5"/>
    <w:qFormat/>
    <w:uiPriority w:val="99"/>
    <w:rPr>
      <w:sz w:val="18"/>
      <w:szCs w:val="18"/>
    </w:rPr>
  </w:style>
  <w:style w:type="character" w:customStyle="1" w:styleId="13">
    <w:name w:val="页脚 字符"/>
    <w:link w:val="4"/>
    <w:uiPriority w:val="99"/>
    <w:rPr>
      <w:sz w:val="18"/>
      <w:szCs w:val="18"/>
    </w:rPr>
  </w:style>
  <w:style w:type="character" w:customStyle="1" w:styleId="14">
    <w:name w:val="标题 1 字符"/>
    <w:qFormat/>
    <w:uiPriority w:val="9"/>
    <w:rPr>
      <w:b/>
      <w:bCs/>
      <w:kern w:val="44"/>
      <w:sz w:val="44"/>
      <w:szCs w:val="44"/>
    </w:rPr>
  </w:style>
  <w:style w:type="character" w:customStyle="1" w:styleId="15">
    <w:name w:val="标题 1 字符1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6">
    <w:name w:val="无间隔 字符"/>
    <w:qFormat/>
    <w:uiPriority w:val="1"/>
    <w:rPr>
      <w:rFonts w:ascii="Calibri" w:hAnsi="Calibri"/>
      <w:sz w:val="22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副标题 字符1"/>
    <w:link w:val="7"/>
    <w:uiPriority w:val="0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19">
    <w:name w:val="副标题 字符"/>
    <w:qFormat/>
    <w:uiPriority w:val="11"/>
    <w:rPr>
      <w:b/>
      <w:bCs/>
      <w:kern w:val="28"/>
      <w:sz w:val="32"/>
      <w:szCs w:val="32"/>
    </w:rPr>
  </w:style>
  <w:style w:type="character" w:customStyle="1" w:styleId="20">
    <w:name w:val="未处理的提及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1">
    <w:name w:val="无间隔 字符1"/>
    <w:link w:val="22"/>
    <w:qFormat/>
    <w:uiPriority w:val="1"/>
    <w:rPr>
      <w:rFonts w:ascii="Calibri" w:hAnsi="Calibri"/>
      <w:sz w:val="22"/>
    </w:rPr>
  </w:style>
  <w:style w:type="paragraph" w:styleId="22">
    <w:name w:val="No Spacing"/>
    <w:link w:val="21"/>
    <w:qFormat/>
    <w:uiPriority w:val="1"/>
    <w:rPr>
      <w:rFonts w:ascii="Calibri" w:hAnsi="Calibri" w:eastAsia="等线"/>
      <w:kern w:val="2"/>
      <w:sz w:val="22"/>
      <w:szCs w:val="22"/>
      <w:lang w:val="en-US" w:eastAsia="zh-CN" w:bidi="ar-SA"/>
    </w:rPr>
  </w:style>
  <w:style w:type="character" w:customStyle="1" w:styleId="23">
    <w:name w:val="批注框文本 字符"/>
    <w:link w:val="3"/>
    <w:semiHidden/>
    <w:uiPriority w:val="99"/>
    <w:rPr>
      <w:rFonts w:ascii="等线" w:hAnsi="等线" w:eastAsia="等线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359</Words>
  <Characters>2047</Characters>
  <Lines>17</Lines>
  <Paragraphs>4</Paragraphs>
  <TotalTime>0</TotalTime>
  <ScaleCrop>false</ScaleCrop>
  <LinksUpToDate>false</LinksUpToDate>
  <CharactersWithSpaces>2402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2024-05-13T05:39:00Z</dcterms:created>
  <dc:creator>aolanjie02</dc:creator>
  <cp:lastModifiedBy>灬</cp:lastModifiedBy>
  <dcterms:modified xsi:type="dcterms:W3CDTF">2024-05-13T06:11:26Z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E19858C8AAC043BEA745BBB62838EB63_13</vt:lpwstr>
  </property>
</Properties>
</file>